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Nowość. Graficzne informacje na temat podłóg Chapel Parket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Nowość w Chapel Parket Polska - do strony internetowej firmy dodane zostały piktogramy prezentujące wszystkie najważniejsze cechy dębowych podłóg z jej oferty. Grafiki obrazują informacje dostępne dotychczas w formie pisemnej. Wbrew pozorom, rozwiązania tego typu nie są powszechnie stosowane przez firmy z branży. Elementy graficzne dot. podłóg Chapel Parket były zawarte tylko w materiałach adresowanych do projektantów i architektów.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Chapel Parket Polska oferuje aż 12 serii dębowych podłóg. Każdą z nich tworzą elementy (deski, klepki lub kasetony) w szerokiej palecie barw, dużym wyborze rozmiarów i sposobów wykończenia. Asortyment jest bardzo rozbudowany - podłogi Chapel Parket są wykonywane zarówno w materiale litym, jak i warstwowym (inżynieryjnym), w kilku selekcjach drewna.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Inwestor ma naprawdę bardzo dużo możliwości do wykorzystania. W przeciwieństwie do innych firm, poszczególne serie naszych podłóg nie ograniczają się do określonej liczby produktów. To inwestor, korzystając z oferowanych przez nas możliwości, sam tworzy własną podłogę</w:t>
      </w:r>
      <w:r>
        <w:rPr>
          <w:rFonts w:ascii="calibri" w:hAnsi="calibri" w:eastAsia="calibri" w:cs="calibri"/>
          <w:sz w:val="24"/>
          <w:szCs w:val="24"/>
        </w:rPr>
        <w:t xml:space="preserve"> – przekonuje </w:t>
      </w:r>
      <w:r>
        <w:rPr>
          <w:rFonts w:ascii="calibri" w:hAnsi="calibri" w:eastAsia="calibri" w:cs="calibri"/>
          <w:sz w:val="24"/>
          <w:szCs w:val="24"/>
          <w:b/>
        </w:rPr>
        <w:t xml:space="preserve">Sebastian Kos</w:t>
      </w:r>
      <w:r>
        <w:rPr>
          <w:rFonts w:ascii="calibri" w:hAnsi="calibri" w:eastAsia="calibri" w:cs="calibri"/>
          <w:sz w:val="24"/>
          <w:szCs w:val="24"/>
        </w:rPr>
        <w:t xml:space="preserve">, ekspert firmy </w:t>
      </w:r>
      <w:r>
        <w:rPr>
          <w:rFonts w:ascii="calibri" w:hAnsi="calibri" w:eastAsia="calibri" w:cs="calibri"/>
          <w:sz w:val="24"/>
          <w:szCs w:val="24"/>
          <w:b/>
        </w:rPr>
        <w:t xml:space="preserve">Chapel Parket Polska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Dotychczasowy sposób opisywania kolekcji, w formie prostych i przejrzystych tabel, bardzo dobrze się sprawdza. Nie da się jednak ukryć, że żyjemy w kulturze obrazkowej, a informacje są coraz częściej przekazywane w formie graficznej. Postanowiliśmy zatem wzbogacić nasze opisy piktogramami. Grafiki są przygotowane tak, że jedno spojrzenie wystarczy, aby uzyskać wszystkie najważniejsze informacje dotyczące podłóg Chapel Parket</w:t>
      </w:r>
      <w:r>
        <w:rPr>
          <w:rFonts w:ascii="calibri" w:hAnsi="calibri" w:eastAsia="calibri" w:cs="calibri"/>
          <w:sz w:val="24"/>
          <w:szCs w:val="24"/>
        </w:rPr>
        <w:t xml:space="preserve"> - dodaje S. Kos.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istotne, piktogramy prezentują nie tylko informacje na temat dostępnych rozmiarów elementów, czy ich wzorów. Grafiki dostarczają również danych technicznych: na temat klasyfikacji ogniowej desek, obecności mikrofazy, czy możliwości ich montażu na ogrzewaniu lub chłodzeniu podłogowym.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Nasze podłogi nie są produktem fabrycznym, powstającym w dużej liczbie identycznych kopii. Każda z nich jest unikatowa, powtarzalna jest natomiast wysoka jakość, specyfikacje techniczne desek także się nie zmieniają</w:t>
      </w:r>
      <w:r>
        <w:rPr>
          <w:rFonts w:ascii="calibri" w:hAnsi="calibri" w:eastAsia="calibri" w:cs="calibri"/>
          <w:sz w:val="24"/>
          <w:szCs w:val="24"/>
        </w:rPr>
        <w:t xml:space="preserve"> – podkreśla S. Kos.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Mimo, że jest to niepowtarzalny, wykonywany na zamówienie produkt, jego opis techniczny w niczym nie odbiega, a nawet przewyższa dane na temat wyrobów fabrycznych. Graficzne informacje są raczej stosowane przez przedsiębiorstwa oferujące identyczne towary. My udowadniamy, że łączenie rzemieślniczej pracy z utrzymywaniem wysokiej jakości i stosowaniem bardzo przejrzystych opisów technicznych jest możliwe. Mam nadzieję, że dzięki piktogramom wybór odpowiedniej kolekcji będzie dla inwestorów jeszcze łatwiejszy</w:t>
      </w:r>
      <w:r>
        <w:rPr>
          <w:rFonts w:ascii="calibri" w:hAnsi="calibri" w:eastAsia="calibri" w:cs="calibri"/>
          <w:sz w:val="24"/>
          <w:szCs w:val="24"/>
        </w:rPr>
        <w:t xml:space="preserve"> - kończy ekspert firmy Chapel Parket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 grafiki zawierające informacje o podłogach Chapel Parket były zawarte tylko w materiałach adresowanych do przedstawicieli branży – projektantów i architektów. Od niedawna są one dostępne na stronie www.chapelparket.pl, w zakładkach poświęconym poszczególnym seriom.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Chapel Parket – podłogi z własną historią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www.chapelparket.pl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www.facebook.com/ChapelParketPolska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produkcji podłóg Chapel Parket stosowany jest olej Floor Service Hardwax Oil, który ma dużą odporność na ścieranie, działanie wody, wina, piwa, coli, kawy, herbaty, soków owocowych i mleka. Substancja jest zgodna z normą DIN 68861 1A. Odporność na działanie śliny i potu jest zgodna z normą DIN 53160. Olej jest ponadto zgodny z europejską normą EN71 dotyczącą zabawek z drewna.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KONTAKT: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Chapel Parket Polska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www.chapelparket.pl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93px; height:49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2025-06-05T06:45:45+02:00</dcterms:created>
  <dcterms:modified xsi:type="dcterms:W3CDTF">2025-06-05T06:45:45+02:00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