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Nowość. Graficzne informacje na temat podłóg Chapel Parket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Nowość w Chapel Parket Polska - do strony internetowej firmy dodane zostały piktogramy prezentujące wszystkie najważniejsze cechy dębowych podłóg z jej oferty. Grafiki obrazują informacje dostępne dotychczas w formie pisemnej. Wbrew pozorom, rozwiązania tego typu nie są powszechnie stosowane przez firmy z branży. Elementy graficzne dot. podłóg Chapel Parket były zawarte tylko w materiałach adresowanych do projektantów i architektów.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Chapel Parket Polska oferuje aż 12 serii dębowych podłóg. Każdą z nich tworzą elementy (deski, klepki lub kasetony) w szerokiej palecie barw, dużym wyborze rozmiarów i sposobów wykończenia. Asortyment jest bardzo rozbudowany - podłogi Chapel Parket są wykonywane zarówno w materiale litym, jak i warstwowym (inżynieryjnym), w kilku selekcjach drewna.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Inwestor ma naprawdę bardzo dużo możliwości do wykorzystania. W przeciwieństwie do innych firm, poszczególne serie naszych podłóg nie ograniczają się do określonej liczby produktów. To inwestor, korzystając z oferowanych przez nas możliwości, sam tworzy własną podłogę</w:t>
      </w:r>
      <w:r>
        <w:rPr>
          <w:rFonts w:ascii="calibri" w:hAnsi="calibri" w:eastAsia="calibri" w:cs="calibri"/>
          <w:sz w:val="24"/>
          <w:szCs w:val="24"/>
        </w:rPr>
        <w:t xml:space="preserve"> – przekonuje </w:t>
      </w:r>
      <w:r>
        <w:rPr>
          <w:rFonts w:ascii="calibri" w:hAnsi="calibri" w:eastAsia="calibri" w:cs="calibri"/>
          <w:sz w:val="24"/>
          <w:szCs w:val="24"/>
          <w:b/>
        </w:rPr>
        <w:t xml:space="preserve">Sebastian Kos</w:t>
      </w:r>
      <w:r>
        <w:rPr>
          <w:rFonts w:ascii="calibri" w:hAnsi="calibri" w:eastAsia="calibri" w:cs="calibri"/>
          <w:sz w:val="24"/>
          <w:szCs w:val="24"/>
        </w:rPr>
        <w:t xml:space="preserve">, ekspert firmy </w:t>
      </w:r>
      <w:r>
        <w:rPr>
          <w:rFonts w:ascii="calibri" w:hAnsi="calibri" w:eastAsia="calibri" w:cs="calibri"/>
          <w:sz w:val="24"/>
          <w:szCs w:val="24"/>
          <w:b/>
        </w:rPr>
        <w:t xml:space="preserve">Chapel Parket Polska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Dotychczasowy sposób opisywania kolekcji, w formie prostych i przejrzystych tabel, bardzo dobrze się sprawdza. Nie da się jednak ukryć, że żyjemy w kulturze obrazkowej, a informacje są coraz częściej przekazywane w formie graficznej. Postanowiliśmy zatem wzbogacić nasze opisy piktogramami. Grafiki są przygotowane tak, że jedno spojrzenie wystarczy, aby uzyskać wszystkie najważniejsze informacje dotyczące podłóg Chapel Parket</w:t>
      </w:r>
      <w:r>
        <w:rPr>
          <w:rFonts w:ascii="calibri" w:hAnsi="calibri" w:eastAsia="calibri" w:cs="calibri"/>
          <w:sz w:val="24"/>
          <w:szCs w:val="24"/>
        </w:rPr>
        <w:t xml:space="preserve"> - dodaje S. Kos.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istotne, piktogramy prezentują nie tylko informacje na temat dostępnych rozmiarów elementów, czy ich wzorów. Grafiki dostarczają również danych technicznych: na temat klasyfikacji ogniowej desek, obecności mikrofazy, czy możliwości ich montażu na ogrzewaniu lub chłodzeniu podłogowym.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Nasze podłogi nie są produktem fabrycznym, powstającym w dużej liczbie identycznych kopii. Każda z nich jest unikatowa, powtarzalna jest natomiast wysoka jakość, specyfikacje techniczne desek także się nie zmieniają</w:t>
      </w:r>
      <w:r>
        <w:rPr>
          <w:rFonts w:ascii="calibri" w:hAnsi="calibri" w:eastAsia="calibri" w:cs="calibri"/>
          <w:sz w:val="24"/>
          <w:szCs w:val="24"/>
        </w:rPr>
        <w:t xml:space="preserve"> – podkreśla S. Kos.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Mimo, że jest to niepowtarzalny, wykonywany na zamówienie produkt, jego opis techniczny w niczym nie odbiega, a nawet przewyższa dane na temat wyrobów fabrycznych. Graficzne informacje są raczej stosowane przez przedsiębiorstwa oferujące identyczne towary. My udowadniamy, że łączenie rzemieślniczej pracy z utrzymywaniem wysokiej jakości i stosowaniem bardzo przejrzystych opisów technicznych jest możliwe. Mam nadzieję, że dzięki piktogramom wybór odpowiedniej kolekcji będzie dla inwestorów jeszcze łatwiejszy</w:t>
      </w:r>
      <w:r>
        <w:rPr>
          <w:rFonts w:ascii="calibri" w:hAnsi="calibri" w:eastAsia="calibri" w:cs="calibri"/>
          <w:sz w:val="24"/>
          <w:szCs w:val="24"/>
        </w:rPr>
        <w:t xml:space="preserve"> - kończy ekspert firmy Chapel Parket Polska.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Dotychczas grafiki zawierające informacje o podłogach Chapel Parket były zawarte tylko w materiałach adresowanych do przedstawicieli branży – projektantów i architektów. Od niedawna są one dostępne na stronie www.chapelparket.pl, w zakładkach poświęconym poszczególnym seriom.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 * 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Chapel Parket – podłogi z własną historią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www.chapelparket.pl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www.facebook.com/ChapelParketPolska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produkcji podłóg Chapel Parket stosowany jest olej Floor Service Hardwax Oil, który ma dużą odporność na ścieranie, działanie wody, wina, piwa, coli, kawy, herbaty, soków owocowych i mleka. Substancja jest zgodna z normą DIN 68861 1A. Odporność na działanie śliny i potu jest zgodna z normą DIN 53160. Olej jest ponadto zgodny z europejską normą EN71 dotyczącą zabawek z drewna.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 * 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Chapel Parket Polska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www.chapelparket.pl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493px; height:49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2026-09-25T05:23:52+02:00</dcterms:created>
  <dcterms:modified xsi:type="dcterms:W3CDTF">2026-09-25T05:23:52+02:00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