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White Magick odbuduje markę Tonsil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White Magick świadczyć będzie usługi z zakresu PR oraz marketingu dla firmy Tonsil. Umowa o współpracy przewiduje podjęcie działań zmierzających do odbudowy pozycji producenta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Magick zajmie się kreowaniem wizerunku firmy Tonsil w mediach, promocją produktów, a także udzieli wsparcia w procesach związanych ze sferą handlową, w szczególności tworzeniem kanału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ukrywam, że umowa z Tonsilem ma dla nas szczególny charakter. Nie tylko ze względu na szeroki zakres współpracy, ale przede wszystkim sentyment do marki. Przecież Tonsil był niegdyś wizytówką Polski w świecie. Włożymy dużo serca i wysiłku, aby Tonsil znów wrócił do gry. Choć zdajemy sobie sprawę, że to trudne zadanie ze względu na ostrą konkurencję</w:t>
      </w:r>
      <w:r>
        <w:rPr>
          <w:rFonts w:ascii="calibri" w:hAnsi="calibri" w:eastAsia="calibri" w:cs="calibri"/>
          <w:sz w:val="24"/>
          <w:szCs w:val="24"/>
        </w:rPr>
        <w:t xml:space="preserve">. – mówi Kajetan Adamczak, prezes White Magick.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firmy Tonsil sięga końca II wojny światowej, kiedy poniemiecka fabryka sprzętu radiotechnicznego została oddana pod zarząd Polskiego Radia. W 1978 głośniki Tonsil trafiły na rynek amerykański, a dynamika sprzedaży na rynkach Zachodniej Europy wynosiła 2500 procent. W latach 80. kolumny Altus królowały w polskich domach. W drugiej połowie lat 90-tych firma znalazła się na zakręcie. Rodzimy rynek zalała fala taniego sprzętu z Azji, jednocześnie zapotrzebowanie na polski sprzęt na rynkach zachodnich wyraźnie zmalało. To sprawiło, że firma znalazła się w trudnej sytuacji finansowej, doszło do zmian własnościowych. W drugiej dekadzie XXI wieku Tonsil wraca w nowej odsłonie. Warto podkreślić, że wszystkie zestawy głośnikowe Tonsil produkowane są nadal we Wrześni co zapewnia właściwą kontrolę jakości.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2px; height: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White Magick posiada 7-letnie doświadczenie w obsłudze klientów z branży nowych technologii. Z usług White Magick korzystali w przeszłości lub korzystają obecnie m.in.: Agito.pl, EVER, Hama, iiyama, IteCom Komputronik, Log Systems, </w:t>
      </w:r>
      <w:r>
        <w:rPr>
          <w:rFonts w:ascii="calibri" w:hAnsi="calibri" w:eastAsia="calibri" w:cs="calibri"/>
          <w:sz w:val="24"/>
          <w:szCs w:val="24"/>
          <w:b/>
        </w:rPr>
        <w:t xml:space="preserve">PowerSales International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iuroprasowe.pl/wp-content/uploads/2013/12/LOGOTONS_now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2026-09-07T07:26:20+02:00</dcterms:created>
  <dcterms:modified xsi:type="dcterms:W3CDTF">2026-09-07T07:26:20+02:00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