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Szkody w lasach po huraganowych wiatrach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Leśnicy z terenu szczecińskiej dyrekcji Lasów Państwowych zakończyli wstępną inwentaryzację szkód wyrządzonych przez huraganowe wiatry, które przeszły przez tamtejsze lasy na początku września.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Gwałtowne wiatry wystąpiły w centralnej i południowo-wschodniej części Regionalnej Dyrekcji Lasów Państwowych w Szczecinie, wyrządziły duże szkody w drzewostanach i w infrastrukturze leśnej. Straty w drzewostanach spowodowane wiatrami to około </w:t>
      </w:r>
      <w:r>
        <w:rPr>
          <w:rFonts w:ascii="calibri" w:hAnsi="calibri" w:eastAsia="calibri" w:cs="calibri"/>
          <w:sz w:val="24"/>
          <w:szCs w:val="24"/>
          <w:b/>
        </w:rPr>
        <w:t xml:space="preserve">150 tys. m3 wywrotów i złomów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przy czym szkody powierzchniowe odnotowano na powierzchni około 10 tys. ha, w tym kwalifikujących się do usunięcia zrębami zupełnymi na powierzchni ok. 150 ha.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silnych wiatrów została również zniszczona infrastruktura leśna (głównie ogrodzenia upraw leśnych) oraz budynki. Największe uszkodzenia wystąpiły w nadleśnictwach: Bierzwnik (ok. 39 tys. m3), Karwin (ok. 25 tys. m3), Skwierzyna (ok. 28 tys. m3) i Strzelce Krajeńskie (ok. 50 tys. m3).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obszarach objętych klęską wiatrołomów występuje duże zagrożenie dla ludzi, dlatego na najbardziej zagrożonych obszarach nadleśnictwa</w:t>
      </w:r>
      <w:r>
        <w:rPr>
          <w:rFonts w:ascii="calibri" w:hAnsi="calibri" w:eastAsia="calibri" w:cs="calibri"/>
          <w:sz w:val="24"/>
          <w:szCs w:val="24"/>
          <w:b/>
        </w:rPr>
        <w:t xml:space="preserve">: Skwierzyna, Strzelce Krajeńskie, Karwin wprowadziły zakaz wstępu do lasu.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lasy.gov.pl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2025-04-12T22:16:14+02:00</dcterms:created>
  <dcterms:modified xsi:type="dcterms:W3CDTF">2025-04-12T22:16:14+02:00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