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Spam w kwietniu 2014 – giełdowe oszustwa i e-maile z trojanami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Eksperci z Kaspersky Lab przeanalizowali ewolucję spamu w kwietniu 2014 r. – szczególnie popularny był szkodliwy spam z życzeniami oraz z fałszywymi powiadomieniami z serwisów faksowych.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Wykryto także nową falę spamu typu „pump and dump”, polegającego na sztucznym pompowaniu cen udziałów w firmach celem szybkiego zarobienia pieniędzy.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Rzekome kwietniowe życzenia wielkanocne okazały się trojanem Fareit.aonw o dość ograniczonej funkcjonalności: program ten nie próbował kraść żadnych haseł, ale pobierał i uruchamiał o wiele bardziej niebezpiecznego trojana szpiegującego Zbot, którego celem jest atakowanie serwerów i kradzież danych osobistych. Drugi przypadek dotyczył fałszywych wiadomości pochodzących rzekomo z popularnego serwisu faksowego online. Wiadomość ta zawierała niewielkiego trojana, który instalował ten sam program szpiegujący z niesławnej rodziny Zeus/Zbot.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kwietniu Kaspersky Lab wykrył także kilka dużych ataków wykorzystujących szkodliwe oprogramowanie pod przykrywką faksów wysyłanych za pośrednictwem popularnego serwisu internetowego eFax, który umożliwia użytkownikom wysyłanie i otrzymywanie faksów jako załączników do wiadomości e-mail. Fałszywe wiadomości zawierały zwykle powiadomienie o przychodzącym faksie oraz liczbę jego stron, tak aby były bardziej przekonujące. W rzeczywistości jednak plik zip krył szkodliwe oprogramowanie, które stanowił Trojan-Downloader.Win32.Cabby.a – raczej niewielki szkodliwy program, który zawiera w swoim kodzie dokument lub obrazek, który wyświetla się użytkownikowi po uruchomieniu pliku. Podczas gdy ofiara jest zajęta przeglądaniem dokumentu, Cabby potajemnie pobiera i instaluje inną niebezpieczną aplikację. W zaobserwowanych przez ekspertów z Kaspersky Lab przypadkach drugi szkodliwy program należał – podobnie jak w przypadku niebezpiecznego spamu z życzeniami świątecznymi – do szeroko rozpowszechnionej rodziny ZeuS/Zbot (Trojan-Spy.Win32.Zbot.shqe).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Phishing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kwietniu phisherzy najczęściej atakowali organizacje z kategorii „serwisy pocztowe i wyszukiwarki”, która stanowiła cel 31,9% ataków. Na drugim miejscu znalazły się „portale społecznościowe” (których udział wynosił 23,8%, o 0,2 punktu procentowego mniej w stosunku do poprzedniego miesiąca). Na trzeciej pozycji uplasowały się „organizacje finansowe i płatności” (13%, o 0,2 punktu procentowego mniej niż w marcu).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Najczęściej atakowaną organizacją w badanym miesiącu była chińska firma z branży telekomunikacyjnej Tencent, która oferuje między innymi wsparcie techniczne dla komunikatora internetowego QQ. Oszuści próbowali uzyskać loginy i hasła klientów przy użyciu dobrze znanych sztuczek, takich jak poinstruowanie użytkownika, aby kliknął odsyłacz w celu odzyskania dostępu do swojego konta. W rzeczywistości jednak odsyłacz ten prowadził do strony phishingowej. Powiadomienie zostało wysłane w formie grafiki, co pomogło obejść filtry spamowe i sprawiło, że wiadomość bardziej przypominała legalną.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„W zeszłym miesiącu odnotowaliśmy nową falę spamu typu ‘pump and dump’. Stojący za takimi wysyłkami oszuści reklamowali oferty nabycia udziałów w określonej firmie po bardzo niskich cenach, które miały znacznie wzrosnąć w najbliższej przyszłości. W efekcie wzrastało zapotrzebowanie na udziały w firmie i ich ceny zostały sztucznie zawyżone – po czym oszuści sprzedali swoje udziały. Następnie ceny udziałów zaczęły spadać, a oszukani inwestorzy zostali z udziałami o niższej wartości i stracili na swojej inwestycji. Oszuści wybierają zwykle do takich przekrętów mało znane firmy, w przypadku których handel udziałami odbywa się rynku wtórnym. W kwietniu wykorzystano do tego celu amerykańską firmę Rich Pharmaceuticals” – powiedziała </w:t>
      </w:r>
      <w:r>
        <w:rPr>
          <w:rFonts w:ascii="calibri" w:hAnsi="calibri" w:eastAsia="calibri" w:cs="calibri"/>
          <w:sz w:val="24"/>
          <w:szCs w:val="24"/>
          <w:b/>
        </w:rPr>
        <w:t xml:space="preserve">Tatiana Szczerbakowa</w:t>
      </w:r>
      <w:r>
        <w:rPr>
          <w:rFonts w:ascii="calibri" w:hAnsi="calibri" w:eastAsia="calibri" w:cs="calibri"/>
          <w:sz w:val="24"/>
          <w:szCs w:val="24"/>
        </w:rPr>
        <w:t xml:space="preserve">, starszy analityk spamu, Kaspersky Lab.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Odsetek spamu w globalnym ruchu e-mail wynosił w kwietniu średnio 71,1% - o 7,6 punktu procentowego więcej w stosunku do zeszłego miesiąca.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Pełny raport poświęcony ewolucji spamu w kwietniu 2014 r. pojawi się już wkrótce w serwisie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SecureList.pl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prowadzonym przez Kaspersky Lab.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http://www.kaspersky.pl/news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securelist.pl" TargetMode="External"/><Relationship Id="rId8" Type="http://schemas.openxmlformats.org/officeDocument/2006/relationships/hyperlink" Target="http://www.kaspersky.pl/new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2025-05-23T06:27:46+02:00</dcterms:created>
  <dcterms:modified xsi:type="dcterms:W3CDTF">2025-05-23T06:27:46+02:00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