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Spam w kwietniu 2014 – giełdowe oszustwa i e-maile z trojanami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z Kaspersky Lab przeanalizowali ewolucję spamu w kwietniu 2014 r. – szczególnie popularny był szkodliwy spam z życzeniami oraz z fałszywymi powiadomieniami z serwisów faksowych.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Wykryto także nową falę spamu typu „pump and dump”, polegającego na sztucznym pompowaniu cen udziałów w firmach celem szybkiego zarobienia pieniędzy.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Rzekome kwietniowe życzenia wielkanocne okazały się trojanem Fareit.aonw o dość ograniczonej funkcjonalności: program ten nie próbował kraść żadnych haseł, ale pobierał i uruchamiał o wiele bardziej niebezpiecznego trojana szpiegującego Zbot, którego celem jest atakowanie serwerów i kradzież danych osobistych. Drugi przypadek dotyczył fałszywych wiadomości pochodzących rzekomo z popularnego serwisu faksowego online. Wiadomość ta zawierała niewielkiego trojana, który instalował ten sam program szpiegujący z niesławnej rodziny Zeus/Zbot.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kwietniu Kaspersky Lab wykrył także kilka dużych ataków wykorzystujących szkodliwe oprogramowanie pod przykrywką faksów wysyłanych za pośrednictwem popularnego serwisu internetowego eFax, który umożliwia użytkownikom wysyłanie i otrzymywanie faksów jako załączników do wiadomości e-mail. Fałszywe wiadomości zawierały zwykle powiadomienie o przychodzącym faksie oraz liczbę jego stron, tak aby były bardziej przekonujące. W rzeczywistości jednak plik zip krył szkodliwe oprogramowanie, które stanowił Trojan-Downloader.Win32.Cabby.a – raczej niewielki szkodliwy program, który zawiera w swoim kodzie dokument lub obrazek, który wyświetla się użytkownikowi po uruchomieniu pliku. Podczas gdy ofiara jest zajęta przeglądaniem dokumentu, Cabby potajemnie pobiera i instaluje inną niebezpieczną aplikację. W zaobserwowanych przez ekspertów z Kaspersky Lab przypadkach drugi szkodliwy program należał – podobnie jak w przypadku niebezpiecznego spamu z życzeniami świątecznymi – do szeroko rozpowszechnionej rodziny ZeuS/Zbot (Trojan-Spy.Win32.Zbot.shqe).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Phishing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kwietniu phisherzy najczęściej atakowali organizacje z kategorii „serwisy pocztowe i wyszukiwarki”, która stanowiła cel 31,9% ataków. Na drugim miejscu znalazły się „portale społecznościowe” (których udział wynosił 23,8%, o 0,2 punktu procentowego mniej w stosunku do poprzedniego miesiąca). Na trzeciej pozycji uplasowały się „organizacje finansowe i płatności” (13%, o 0,2 punktu procentowego mniej niż w marcu).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Najczęściej atakowaną organizacją w badanym miesiącu była chińska firma z branży telekomunikacyjnej Tencent, która oferuje między innymi wsparcie techniczne dla komunikatora internetowego QQ. Oszuści próbowali uzyskać loginy i hasła klientów przy użyciu dobrze znanych sztuczek, takich jak poinstruowanie użytkownika, aby kliknął odsyłacz w celu odzyskania dostępu do swojego konta. W rzeczywistości jednak odsyłacz ten prowadził do strony phishingowej. Powiadomienie zostało wysłane w formie grafiki, co pomogło obejść filtry spamowe i sprawiło, że wiadomość bardziej przypominała legalną.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 zeszłym miesiącu odnotowaliśmy nową falę spamu typu ‘pump and dump’. Stojący za takimi wysyłkami oszuści reklamowali oferty nabycia udziałów w określonej firmie po bardzo niskich cenach, które miały znacznie wzrosnąć w najbliższej przyszłości. W efekcie wzrastało zapotrzebowanie na udziały w firmie i ich ceny zostały sztucznie zawyżone – po czym oszuści sprzedali swoje udziały. Następnie ceny udziałów zaczęły spadać, a oszukani inwestorzy zostali z udziałami o niższej wartości i stracili na swojej inwestycji. Oszuści wybierają zwykle do takich przekrętów mało znane firmy, w przypadku których handel udziałami odbywa się rynku wtórnym. W kwietniu wykorzystano do tego celu amerykańską firmę Rich Pharmaceuticals” – powiedziała </w:t>
      </w:r>
      <w:r>
        <w:rPr>
          <w:rFonts w:ascii="calibri" w:hAnsi="calibri" w:eastAsia="calibri" w:cs="calibri"/>
          <w:sz w:val="24"/>
          <w:szCs w:val="24"/>
          <w:b/>
        </w:rPr>
        <w:t xml:space="preserve">Tatiana Szczerbakowa</w:t>
      </w:r>
      <w:r>
        <w:rPr>
          <w:rFonts w:ascii="calibri" w:hAnsi="calibri" w:eastAsia="calibri" w:cs="calibri"/>
          <w:sz w:val="24"/>
          <w:szCs w:val="24"/>
        </w:rPr>
        <w:t xml:space="preserve">, starszy analityk spamu,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Odsetek spamu w globalnym ruchu e-mail wynosił w kwietniu średnio 71,1% - o 7,6 punktu procentowego więcej w stosunku do zeszłego miesiąca.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Pełny raport poświęcony ewolucji spamu w kwietniu 2014 r. pojawi się już wkrótce w serwisie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SecureList.pl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prowadzonym przez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ecurelist.pl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2025-07-30T06:25:50+02:00</dcterms:created>
  <dcterms:modified xsi:type="dcterms:W3CDTF">2025-07-30T06:25:50+02:00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