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FoodCare właścicielem znaku towarowego TIGER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Patentowy potwierdził wcześniejsze prawa firmy FoodCare sp. z o.o. do znaku towarowego z elementem TIGER.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wyniku decyzji Urzędu Patentowego Rzeczpospolitej Polskiej z dnia 5 sierpnia 2015 roku pierwszeństwo do znaku towarowego z elementem TIGER tj. do BLACK TIGER i WILD TIGER na terytorium Polski dla napojów bezalkoholowych przysługuje firmie Foodcare Sp. z o.o. - jednemu z wiodących producentów branży spożywczej w Polsce. Decyzje te są ostateczne i wykonalne.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Fundacja „Równe Szanse” Dariusza Michalczewskiego złożyła wniosek do Urzędu Patentowego Rzeczpospolitej Polskiej w Warszawie zmierzający do pozbawienia Foodcare sp. z o.o. praw do znaków towarowych z elementem Tiger powołując się na wcześniejsze prawa Dariusza Michalczewskiego do znaku TIGER VIT oraz prawa osobiste. Urząd Patentowy Rzeczpospolitej Polskiej oddalił wnioski o unieważnienie znaków BLACK TIGER oraz WILD TIGER stwierdzając, że nie uzasadnione są zarzuty działania w złej wierze.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„To ogromny sukces w walce o sprawiedliwość. Decyzja o oddaleniu tego wniosku pozostawia w mocy znaki BLACK TIGER i WILD TIGER, których jedynym prawowitym właścicielem pozostaje od lat niezmiennie firma FoodCare sp. z o.o. i daje nam pierwszeństwo przed konkurencją w posługiwaniu się tymi znakami” – podreśla Wiesław Włodarski właściciel FoodCare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Urząd Patentowy Rzeczpospolitej Polskiej wygasił</w:t>
      </w:r>
      <w:r>
        <w:rPr>
          <w:rFonts w:ascii="calibri" w:hAnsi="calibri" w:eastAsia="calibri" w:cs="calibri"/>
          <w:sz w:val="24"/>
          <w:szCs w:val="24"/>
        </w:rPr>
        <w:t xml:space="preserve"> znak towarowy TIGER VIT, należący do Fundacji „Równe Szanse” Dariusza Michalczewskiego tym samym dając pierwszeństwo znakom towarowym BLACK TIGER oraz WILD TIGER firmy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2026-06-08T07:50:18+02:00</dcterms:created>
  <dcterms:modified xsi:type="dcterms:W3CDTF">2026-06-08T07:50:18+02:00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