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FoodCare właścicielem znaku towarowego TIGER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Urząd Patentowy potwierdził wcześniejsze prawa firmy FoodCare sp. z o.o. do znaku towarowego z elementem TIGER.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W wyniku decyzji Urzędu Patentowego Rzeczpospolitej Polskiej z dnia 5 sierpnia 2015 roku pierwszeństwo do znaku towarowego z elementem TIGER tj. do BLACK TIGER i WILD TIGER na terytorium Polski dla napojów bezalkoholowych przysługuje firmie Foodcare Sp. z o.o. - jednemu z wiodących producentów branży spożywczej w Polsce. Decyzje te są ostateczne i wykonalne.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2009 roku Fundacja „Równe Szanse” Dariusza Michalczewskiego złożyła wniosek do Urzędu Patentowego Rzeczpospolitej Polskiej w Warszawie zmierzający do pozbawienia Foodcare sp. z o.o. praw do znaków towarowych z elementem Tiger powołując się na wcześniejsze prawa Dariusza Michalczewskiego do znaku TIGER VIT oraz prawa osobiste. Urząd Patentowy Rzeczpospolitej Polskiej oddalił wnioski o unieważnienie znaków BLACK TIGER oraz WILD TIGER stwierdzając, że nie uzasadnione są zarzuty działania w złej wierze.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- „To ogromny sukces w walce o sprawiedliwość. Decyzja o oddaleniu tego wniosku pozostawia w mocy znaki BLACK TIGER i WILD TIGER, których jedynym prawowitym właścicielem pozostaje od lat niezmiennie firma FoodCare sp. z o.o. i daje nam pierwszeństwo przed konkurencją w posługiwaniu się tymi znakami” – podreśla Wiesław Włodarski właściciel FoodCare sp. z o.o.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Urząd Patentowy Rzeczpospolitej Polskiej wygasił</w:t>
      </w:r>
      <w:r>
        <w:rPr>
          <w:rFonts w:ascii="calibri" w:hAnsi="calibri" w:eastAsia="calibri" w:cs="calibri"/>
          <w:sz w:val="24"/>
          <w:szCs w:val="24"/>
        </w:rPr>
        <w:t xml:space="preserve"> znak towarowy TIGER VIT, należący do Fundacji „Równe Szanse” Dariusza Michalczewskiego tym samym dając pierwszeństwo znakom towarowym BLACK TIGER oraz WILD TIGER firmy FoodCare.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Compass PR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2025-04-13T13:32:09+02:00</dcterms:created>
  <dcterms:modified xsi:type="dcterms:W3CDTF">2025-04-13T13:32:09+02:00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