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 Hat ogłasza szczegóły konferencji EMEA Partner w Madrycie</w:t>
      </w:r>
    </w:p>
    <w:p>
      <w:pPr>
        <w:spacing w:before="0" w:after="500" w:line="264" w:lineRule="auto"/>
      </w:pPr>
      <w:r>
        <w:rPr>
          <w:rFonts w:ascii="calibri" w:hAnsi="calibri" w:eastAsia="calibri" w:cs="calibri"/>
          <w:sz w:val="36"/>
          <w:szCs w:val="36"/>
          <w:b/>
        </w:rPr>
        <w:t xml:space="preserve">Na trzydniowej konferencji dla partnerów zostanie omówiony plan modernizacji środowisk IT przy wykorzystaniu otwartych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4 lipca 2013 r. – </w:t>
      </w:r>
      <w:r>
        <w:rPr>
          <w:rFonts w:ascii="calibri" w:hAnsi="calibri" w:eastAsia="calibri" w:cs="calibri"/>
          <w:sz w:val="24"/>
          <w:szCs w:val="24"/>
        </w:rPr>
        <w:t xml:space="preserve">Red Hat, Inc. (NYSE: RHT), czołowy dostawca rozwiązań opartych na otwartym oprogramowaniu, poinformował o szczegółach piątej corocznej konferencji Red Hat EMEA Partner. Konferencja odbędzie się w Madrycie w dniach od 29 września do 2 października 2013 r.</w:t>
      </w:r>
    </w:p>
    <w:p>
      <w:pPr>
        <w:spacing w:before="0" w:after="300"/>
      </w:pPr>
      <w:r>
        <w:rPr>
          <w:rFonts w:ascii="calibri" w:hAnsi="calibri" w:eastAsia="calibri" w:cs="calibri"/>
          <w:sz w:val="24"/>
          <w:szCs w:val="24"/>
        </w:rPr>
        <w:t xml:space="preserve">Imprezę otworzą prezentacje, które wygłoszą: Arun Oberoi, wiceprezes ds. sprzedaży i usług globalnych w firmie Red Hat, oraz Brian Stevens, główny dyrektor techniczny i wiceprezes ds. inżynierii globalnej. Petra Heinrich, wiceprezes ds. partnerów i sojuszy w Red Hat EMEA, przedstawi wgląd w sytuację partnerów i strategię współpracy. Odbędą się też dyskusje panelowe, na których zostaną omówione trendy ofert w zakresie otwartych hybrydowych środowisk przetwarzania w chmurze, rozwiązań klasy middleware oraz platform, a także strategie produktowe.</w:t>
      </w:r>
    </w:p>
    <w:p>
      <w:pPr>
        <w:spacing w:before="0" w:after="300"/>
      </w:pPr>
      <w:r>
        <w:rPr>
          <w:rFonts w:ascii="calibri" w:hAnsi="calibri" w:eastAsia="calibri" w:cs="calibri"/>
          <w:sz w:val="24"/>
          <w:szCs w:val="24"/>
        </w:rPr>
        <w:t xml:space="preserve">Podczas trzydniowej imprezy zostaną przeprowadzone sesje zamknięte. Ich tematyką będą strategie i najlepsze praktyki w przekształcaniu infrastruktury informatycznej przedsiębiorstwa przy użyciu otwartoźródłowej technologii oraz migracja ze środowisk fizycznych do rozwiązań wirtualnych i w chmurze.</w:t>
      </w:r>
    </w:p>
    <w:p>
      <w:pPr>
        <w:spacing w:before="0" w:after="300"/>
      </w:pPr>
      <w:r>
        <w:rPr>
          <w:rFonts w:ascii="calibri" w:hAnsi="calibri" w:eastAsia="calibri" w:cs="calibri"/>
          <w:sz w:val="24"/>
          <w:szCs w:val="24"/>
        </w:rPr>
        <w:t xml:space="preserve">Konferencja Red Hat EMEA Partner to idealne forum dla dystrybutorów Red Hata, integratorów systemów, niezależnych dostawców oprogramowania, producentów OEM i dostawców rozwiązań, pozwalające im wszystkim na wzajemną współpracę i poszukiwanie innowacyjnych rozwiązań. Konferencja Red Hat EMEA Partner oferuje szeroki wachlarz możliwości dla ekosystemu partnerów Red Hata, od dyskusji z kadrą kierowniczą firmy po opracowanie zwycięskiej strategii biznesowej.</w:t>
      </w:r>
    </w:p>
    <w:p>
      <w:pPr>
        <w:spacing w:before="0" w:after="300"/>
      </w:pPr>
      <w:r>
        <w:rPr>
          <w:rFonts w:ascii="calibri" w:hAnsi="calibri" w:eastAsia="calibri" w:cs="calibri"/>
          <w:sz w:val="24"/>
          <w:szCs w:val="24"/>
        </w:rPr>
        <w:t xml:space="preserve">Uczestnicy dowiedzą się, w jaki sposób klienci Red Hata wdrażają aktualne rozwiązania, aby zwiększyć wydajność, jednocześnie obniżając koszty. Będzie też można spotkać się z platynowym sponsorem konferencji firmą IBM oraz złotym sponsorem firmą HP oraz wymieniać się wiedzą i doświadczeniem z partnerami sojuszy i ekosystemu na mniej formalnych spotkaniach.</w:t>
      </w:r>
    </w:p>
    <w:p>
      <w:pPr>
        <w:spacing w:before="0" w:after="300"/>
      </w:pPr>
      <w:r>
        <w:rPr>
          <w:rFonts w:ascii="calibri" w:hAnsi="calibri" w:eastAsia="calibri" w:cs="calibri"/>
          <w:sz w:val="24"/>
          <w:szCs w:val="24"/>
        </w:rPr>
        <w:t xml:space="preserve">Konferencja Red Hat EMEA Partner będzie poświęcona trzem głównym obszarom zagadnień. Pierwszy obszar to integracja centrów danych. Podstawowe tematy to aktywizacja partnerów i modernizacja środowiska IT. Drugi obszar dotyczy klasy middleware oraz konieczności migracji eksploatowanych aplikacji w otwartym środowisku. Trzeci obszar skupia się na rozwiązywaniu problemów z wcześniej niespotykanym rozkładem obciążenia pracą, nieodłącznie związanym z otwartymi hybrydowymi środowiskami przetwarzania w chmurze oraz obsługą dużych zbiorów danych.</w:t>
      </w:r>
    </w:p>
    <w:p>
      <w:pPr>
        <w:spacing w:before="0" w:after="300"/>
      </w:pPr>
      <w:r>
        <w:rPr>
          <w:rFonts w:ascii="calibri" w:hAnsi="calibri" w:eastAsia="calibri" w:cs="calibri"/>
          <w:sz w:val="24"/>
          <w:szCs w:val="24"/>
        </w:rPr>
        <w:t xml:space="preserve">Red Hat przeprowadzi serię praktycznych laboratoriów szkoleniowych, które dotyczą najważniejszych kwestii zastosowania produktów, takich jak platforma, wirtualizacja, przetwarzanie w chmurze i klasa middleware. Uczestnicy będą mieli możliwość bezpłatnego przystąpienia do egzaminów Red Hat.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Cytat</w:t>
      </w:r>
    </w:p>
    <w:p>
      <w:pPr>
        <w:spacing w:before="0" w:after="300"/>
      </w:pPr>
      <w:r>
        <w:rPr>
          <w:rFonts w:ascii="calibri" w:hAnsi="calibri" w:eastAsia="calibri" w:cs="calibri"/>
          <w:sz w:val="24"/>
          <w:szCs w:val="24"/>
          <w:b/>
          <w:i/>
          <w:iCs/>
        </w:rPr>
        <w:t xml:space="preserve">Petra Heinrich, wiceprezes ds. partnerów i sojuszy w Red Hat EMEA:</w:t>
      </w:r>
    </w:p>
    <w:p>
      <w:pPr>
        <w:spacing w:before="0" w:after="300"/>
      </w:pPr>
      <w:r>
        <w:rPr>
          <w:rFonts w:ascii="calibri" w:hAnsi="calibri" w:eastAsia="calibri" w:cs="calibri"/>
          <w:sz w:val="24"/>
          <w:szCs w:val="24"/>
        </w:rPr>
        <w:t xml:space="preserve">„Konferencja Red Hat EMEA Partner to nasza najważniejsza impreza w tym regionie. Dzięki niej Red Hat ma okazję spotkać się z partnerami i przedstawić im najnowsze produkty oraz plany na przyszłość. Plan imprezy i możliwości współpracy zapewnią zrozumienie, a także materiały, których potrzebują partnerzy Red Hata w celu stworzenia wszechstronnego planu rozwoju swoich firm w oparciu o produkty naszej firmy. Cieszymy, że IBM został platynowym partnerem, a HP złotym sponsorem naszej konferencji.”</w:t>
      </w:r>
    </w:p>
    <w:p>
      <w:pPr>
        <w:spacing w:before="0" w:after="300"/>
      </w:pPr>
      <w:r>
        <w:rPr>
          <w:rFonts w:ascii="calibri" w:hAnsi="calibri" w:eastAsia="calibri" w:cs="calibri"/>
          <w:sz w:val="24"/>
          <w:szCs w:val="24"/>
        </w:rPr>
        <w:t xml:space="preserve">Więcej informacji na temat konferencji Red Hat EMEA Partner i możliwość rejestracji znajduje się na stronie: </w:t>
      </w:r>
      <w:hyperlink r:id="rId7" w:history="1">
        <w:r>
          <w:rPr>
            <w:rFonts w:ascii="calibri" w:hAnsi="calibri" w:eastAsia="calibri" w:cs="calibri"/>
            <w:color w:val="0000FF"/>
            <w:sz w:val="24"/>
            <w:szCs w:val="24"/>
            <w:u w:val="single"/>
          </w:rPr>
          <w:t xml:space="preserve">http://www.redhat.com/partnerconference/emea/</w:t>
        </w:r>
      </w:hyperlink>
    </w:p>
    <w:p>
      <w:pPr>
        <w:spacing w:before="0" w:after="300"/>
      </w:pPr>
    </w:p>
    <w:p>
      <w:pPr>
        <w:spacing w:before="0" w:after="300"/>
      </w:pPr>
      <w:r>
        <w:rPr>
          <w:rFonts w:ascii="calibri" w:hAnsi="calibri" w:eastAsia="calibri" w:cs="calibri"/>
          <w:sz w:val="24"/>
          <w:szCs w:val="24"/>
          <w:b/>
        </w:rPr>
        <w:t xml:space="preserve">Kontakt z</w:t>
      </w:r>
      <w:r>
        <w:rPr>
          <w:rFonts w:ascii="calibri" w:hAnsi="calibri" w:eastAsia="calibri" w:cs="calibri"/>
          <w:sz w:val="24"/>
          <w:szCs w:val="24"/>
          <w:b/>
        </w:rPr>
        <w:t xml:space="preserve"> firmą </w:t>
      </w:r>
      <w:r>
        <w:rPr>
          <w:rFonts w:ascii="calibri" w:hAnsi="calibri" w:eastAsia="calibri" w:cs="calibri"/>
          <w:sz w:val="24"/>
          <w:szCs w:val="24"/>
          <w:b/>
        </w:rPr>
        <w:t xml:space="preserve">Red</w:t>
      </w:r>
      <w:r>
        <w:rPr>
          <w:rFonts w:ascii="calibri" w:hAnsi="calibri" w:eastAsia="calibri" w:cs="calibri"/>
          <w:sz w:val="24"/>
          <w:szCs w:val="24"/>
          <w:b/>
        </w:rPr>
        <w:t xml:space="preserve"> </w:t>
      </w:r>
      <w:r>
        <w:rPr>
          <w:rFonts w:ascii="calibri" w:hAnsi="calibri" w:eastAsia="calibri" w:cs="calibri"/>
          <w:sz w:val="24"/>
          <w:szCs w:val="24"/>
          <w:b/>
        </w:rPr>
        <w:t xml:space="preserve">Hat</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Dowiedz się więcej o firmie Red Hat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Czytaj wiadomości o firmie Red Hat albo subskrybuj źródło RSS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Śledź firmę Red Hat na Twitterze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Dołącz do firmy Red Hat na Facebooku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Oglądaj wideo firmy Red Hat na YouTube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Dołącz do firmy Red Hat na Google+</w:t>
      </w:r>
    </w:p>
    <w:p>
      <w:pPr>
        <w:spacing w:before="0" w:after="300"/>
      </w:pPr>
    </w:p>
    <w:p>
      <w:pPr>
        <w:spacing w:before="0" w:after="300"/>
      </w:pPr>
      <w:r>
        <w:rPr>
          <w:rFonts w:ascii="calibri" w:hAnsi="calibri" w:eastAsia="calibri" w:cs="calibri"/>
          <w:sz w:val="24"/>
          <w:szCs w:val="24"/>
          <w:b/>
        </w:rPr>
        <w:t xml:space="preserve">Red</w:t>
      </w:r>
      <w:r>
        <w:rPr>
          <w:rFonts w:ascii="calibri" w:hAnsi="calibri" w:eastAsia="calibri" w:cs="calibri"/>
          <w:sz w:val="24"/>
          <w:szCs w:val="24"/>
          <w:b/>
        </w:rPr>
        <w:t xml:space="preserve"> </w:t>
      </w:r>
      <w:r>
        <w:rPr>
          <w:rFonts w:ascii="calibri" w:hAnsi="calibri" w:eastAsia="calibri" w:cs="calibri"/>
          <w:sz w:val="24"/>
          <w:szCs w:val="24"/>
          <w:b/>
        </w:rPr>
        <w:t xml:space="preserve">Hat,</w:t>
      </w:r>
      <w:r>
        <w:rPr>
          <w:rFonts w:ascii="calibri" w:hAnsi="calibri" w:eastAsia="calibri" w:cs="calibri"/>
          <w:sz w:val="24"/>
          <w:szCs w:val="24"/>
          <w:b/>
        </w:rPr>
        <w:t xml:space="preserve"> </w:t>
      </w:r>
      <w:r>
        <w:rPr>
          <w:rFonts w:ascii="calibri" w:hAnsi="calibri" w:eastAsia="calibri" w:cs="calibri"/>
          <w:sz w:val="24"/>
          <w:szCs w:val="24"/>
          <w:b/>
        </w:rPr>
        <w:t xml:space="preserve">Inc. — informacje</w:t>
      </w:r>
    </w:p>
    <w:p>
      <w:pPr>
        <w:spacing w:before="0" w:after="300"/>
      </w:pPr>
      <w:r>
        <w:rPr>
          <w:rFonts w:ascii="calibri" w:hAnsi="calibri" w:eastAsia="calibri" w:cs="calibri"/>
          <w:sz w:val="24"/>
          <w:szCs w:val="24"/>
        </w:rPr>
        <w:t xml:space="preserve">Red Hat jest czołowym światowym dostawcą rozwiązań open source, który wykorzystuje podejście społecznościowe, aby dostarczać niezawodne i wydajne technologie związane z chmurą obliczeniową, Linuksem, oprogramowaniem pośrednim, pamięcią masową i wirtualizacją. Red Hat oferuje również nagradzane usługi w zakresie wsparcia, szkoleń</w:t>
      </w:r>
    </w:p>
    <w:p>
      <w:pPr>
        <w:spacing w:before="0" w:after="300"/>
      </w:pPr>
      <w:r>
        <w:rPr>
          <w:rFonts w:ascii="calibri" w:hAnsi="calibri" w:eastAsia="calibri" w:cs="calibri"/>
          <w:sz w:val="24"/>
          <w:szCs w:val="24"/>
        </w:rPr>
        <w:t xml:space="preserve">i konsultingu. Jako centralny węzeł światowej sieci przedsiębiorstw, partnerów i społeczności open source, Red Hat pomaga tworzyć ważne, innowacyjne technologie, które uwalniają zasoby na rzecz rozwoju i przygotowują klientów na przyszłość IT. Więcej informacji można znaleźć pod adresem </w:t>
      </w:r>
      <w:hyperlink r:id="rId8" w:history="1">
        <w:r>
          <w:rPr>
            <w:rFonts w:ascii="calibri" w:hAnsi="calibri" w:eastAsia="calibri" w:cs="calibri"/>
            <w:color w:val="0000FF"/>
            <w:sz w:val="24"/>
            <w:szCs w:val="24"/>
            <w:u w:val="single"/>
          </w:rPr>
          <w:t xml:space="preserve">http://www.redhat.com</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Stwierdzenia wybiegające w przyszłość</w:t>
      </w:r>
    </w:p>
    <w:p>
      <w:pPr>
        <w:spacing w:before="0" w:after="300"/>
      </w:pPr>
      <w:r>
        <w:rPr>
          <w:rFonts w:ascii="calibri" w:hAnsi="calibri" w:eastAsia="calibri" w:cs="calibri"/>
          <w:sz w:val="24"/>
          <w:szCs w:val="24"/>
        </w:rPr>
        <w:t xml:space="preserve">Niektóre stwierdzenia zawarte w niniejszej informacji prasowej mogą stanowić „stwierdzenia wybiegające w przyszłość” w rozumieniu ustawy Private Securities Litigation Reform Act z 1995 roku. Stwierdzenia wybiegające w przyszłość opisują bieżące oczekiwania wobec przyszłych zdarzeń i obejmują każde stwierdzenie, które nie ma bezpośredniego związku z historycznymi lub bieżącymi faktami. Rzeczywiste wyniki mogą różnić się od wyrażonych</w:t>
      </w:r>
    </w:p>
    <w:p>
      <w:pPr>
        <w:spacing w:before="0" w:after="300"/>
      </w:pPr>
      <w:r>
        <w:rPr>
          <w:rFonts w:ascii="calibri" w:hAnsi="calibri" w:eastAsia="calibri" w:cs="calibri"/>
          <w:sz w:val="24"/>
          <w:szCs w:val="24"/>
        </w:rPr>
        <w:t xml:space="preserve">w stwierdzeniach wybiegających w przyszłość wskutek różnych ważnych czynników, takich jak: zagrożenia związane z opóźnieniami lub ograniczeniami wydatków na technologię; efekty konsolidacji branży; zdolność firmy do skutecznego konkurowania; niepewność i niekorzystne wyniki postępowań sądowych oraz powiązanych ugód; integracja przejętych firm oraz zdolność firmy do sprzedaży nabytych technologii i produktów; niezdolność firmy do adekwatnej ochrony własności intelektualnej oraz możliwość naruszenia lub złamania warunków licencyjnych dotyczących własności intelektualnej firm trzecich; zdolność do stymulowania i zaspokajania popytu na nowe produkty i innowacje technologiczne; zagrożenia związane z ochroną danych i informacji; nieefektywne zarządzanie i niedostateczna kontrola nad rozwojem firmy i jej międzynarodową działalnością; wahania kursów walut; zmiany w kluczowym personelu, a także inne czynniki opisane w naszym najnowszym kwartalnym raporcie na formularzu 10-Q (którego kopię można uzyskać za pośrednictwem witryny Komisji Papierów Wartościowych i Giełd pod adresem </w:t>
      </w:r>
      <w:hyperlink r:id="rId9" w:history="1">
        <w:r>
          <w:rPr>
            <w:rFonts w:ascii="calibri" w:hAnsi="calibri" w:eastAsia="calibri" w:cs="calibri"/>
            <w:color w:val="0000FF"/>
            <w:sz w:val="24"/>
            <w:szCs w:val="24"/>
            <w:u w:val="single"/>
          </w:rPr>
          <w:t xml:space="preserve">http://www.sec.gov</w:t>
        </w:r>
      </w:hyperlink>
      <w:r>
        <w:rPr>
          <w:rFonts w:ascii="calibri" w:hAnsi="calibri" w:eastAsia="calibri" w:cs="calibri"/>
          <w:sz w:val="24"/>
          <w:szCs w:val="24"/>
        </w:rPr>
        <w:t xml:space="preserve">), w tym wymienione pod nagłówkami „Risk Factors” oraz „Management's Discussion and Analysis of Financial Condition and Results of Operations”. Ponadto rzeczywiste wyniki mogą różnić się od oczekiwanych ze względu na bardziej ogólne czynniki, takie jak (bez ograniczeń): ogólna kondycja oraz tempo rozwoju branży i rynku; warunki gospodarcze i polityczne; zmiany polityki rządowej i publicznej; oraz skutki katastrof naturalnych, w tym trzęsień ziemi i powodzi. Stwierdzenia wybiegające w przyszłość zawarte w niniejszej informacji prasowej reprezentują poglądy firmy w dniu publikacji, które mogą ulec zmianie. Choć jednak firma może w przyszłości zaktualizować te stwierdzenia, to nie jest do tego w żaden sposób zobowiązana. Nie należy zakładać, że stwierdzenia te reprezentują poglądy firmy w jakimkolwiek okresie następującym po dacie publikacji niniejszej informacji prasowej.</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Red Hat, JBoss i OpenShift to znaki towarowe Red Hat, Inc. zastrzeżone w Stanach Zjednoczonych i innych krajach. Linux® to znak towarowy Linusa Torvaldsa zastrzeżony</w:t>
      </w:r>
    </w:p>
    <w:p>
      <w:pPr>
        <w:spacing w:before="0" w:after="300"/>
      </w:pPr>
      <w:r>
        <w:rPr>
          <w:rFonts w:ascii="calibri" w:hAnsi="calibri" w:eastAsia="calibri" w:cs="calibri"/>
          <w:sz w:val="24"/>
          <w:szCs w:val="24"/>
        </w:rPr>
        <w:t xml:space="preserve">w Stanach Zjednoczonych i innych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hat.com/partnerconference/emea/" TargetMode="External"/><Relationship Id="rId8" Type="http://schemas.openxmlformats.org/officeDocument/2006/relationships/hyperlink" Target="http://www.redhat.com/" TargetMode="External"/><Relationship Id="rId9" Type="http://schemas.openxmlformats.org/officeDocument/2006/relationships/hyperlink" Target="http://cts.businesswire.com/ct/CT?id=smartlink&amp;amp;amp;url=http%3A%2F%2Fwww.sec.gov&amp;amp;amp;esheet=6097798&amp;amp;amp;lan=en_US&amp;amp;amp;anchor=http%3A%2F%2Fwww.sec.gov&amp;amp;amp;index=5&amp;amp;amp;md5=623031a9d3c0ae5f2d429c1349f00d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2026-06-19T11:30:23+02:00</dcterms:created>
  <dcterms:modified xsi:type="dcterms:W3CDTF">2026-06-19T11:30:23+02:00</dcterms:modified>
</cp:coreProperties>
</file>

<file path=docProps/custom.xml><?xml version="1.0" encoding="utf-8"?>
<Properties xmlns="http://schemas.openxmlformats.org/officeDocument/2006/custom-properties" xmlns:vt="http://schemas.openxmlformats.org/officeDocument/2006/docPropsVTypes"/>
</file>