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GTF oferuje SEO Agencjom Kredytowym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Górnośląskie Towarzystwo Finansowe GTF Sp. z o.o., wiodąca na rynku sieć pośrednictwa kredytowego, rozpoczął unikalną akcję promocyjno-marketingową dla swoich partnerów – Agencji Kredytowych. Każda, współpracująca z GTF Agencja, która wyrazi zainteresowanie otrzyma profesjonalne strony wizytowe i marketingowe w domenie gtf.pl. Ponadto, GTF wesprze partnerów usługą pozycjonowania.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Tyski operator kredytowy, pragnie w ten sposób wesprzeć Agencje Kredytowe z mniejszych miejscowości, które w większości nie prowadzą działań w zakresie marketingu internetowego i pozycjonowania. Oferując partnerom darmowe, profesjonalne strony wizytowe i marketingowe daje im </w:t>
      </w:r>
      <w:r>
        <w:rPr>
          <w:rFonts w:ascii="calibri" w:hAnsi="calibri" w:eastAsia="calibri" w:cs="calibri"/>
          <w:sz w:val="24"/>
          <w:szCs w:val="24"/>
        </w:rPr>
        <w:t xml:space="preserve">niesamowitą okazję, by całkowicie za darmo mogli wypromować swoją Agencję na platformie jednej z najszybciej rozwijającej się sieci pośrednictwa kredytowego.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GTF, czyniąc ofertę kompleksową, wesprze podstronę Agencji darmową usługą pozycjonowania na kluczowe hasła odpowiednio przypisane do partnera i lokalizacji.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Wiele firm w mniejszych miastach, nie ma świadomości, jak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istotnym zagadnieniem w dzisiejszym biznesie jest „widoczność w internecie”. A dziś pierwszym krokiem Klienta w procesie zakupowym staje się wyszukiwarka Google. Dzięki naszej akcji,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kredytobiorcy poszukujący w internecie szybkiej pożyczki w wybranym mieście zostaną nakierowani na współpracującą z nami Agencję. Udział w programie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pozwoli więc na realne zwiększenie potencjału marketingowego oraz wzrost lokalnej sprzedaży produktów bankowych.</w:t>
      </w:r>
      <w:r>
        <w:rPr>
          <w:rFonts w:ascii="calibri" w:hAnsi="calibri" w:eastAsia="calibri" w:cs="calibri"/>
          <w:sz w:val="24"/>
          <w:szCs w:val="24"/>
        </w:rPr>
        <w:t xml:space="preserve"> - informuje Paweł Kosmala.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8px; height:9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kontaktowe wpisane przez internautę na stronie marketingowej będą bezpośrednio przekazywane na adres e-mail Agencji, przez co będzie ona stale i na bieżąco informowana o efektach prowadzonej akcji. Po zakończeniu programu pilotażowego trwającego 6 miesięcy, GTF przygotuje i zaprezentujemy podsumowanie jak wstawiona podstrona i pozycjonowanie wpłynęło na wzrost zapytań do biura oraz sprzedaż. Wówczas to Agencja podejmie decyzję o przedłużeniu okresu pozycjonowania.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2025-07-22T23:18:06+02:00</dcterms:created>
  <dcterms:modified xsi:type="dcterms:W3CDTF">2025-07-22T23:18:06+02:00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