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GTF oferuje SEO Agencjom Kredytowym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Górnośląskie Towarzystwo Finansowe GTF Sp. z o.o., wiodąca na rynku sieć pośrednictwa kredytowego, rozpoczął unikalną akcję promocyjno-marketingową dla swoich partnerów – Agencji Kredytowych. Każda, współpracująca z GTF Agencja, która wyrazi zainteresowanie otrzyma profesjonalne strony wizytowe i marketingowe w domenie gtf.pl. Ponadto, GTF wesprze partnerów usługą pozycjonowania.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Tyski operator kredytowy, pragnie w ten sposób wesprzeć Agencje Kredytowe z mniejszych miejscowości, które w większości nie prowadzą działań w zakresie marketingu internetowego i pozycjonowania. Oferując partnerom darmowe, profesjonalne strony wizytowe i marketingowe daje im </w:t>
      </w:r>
      <w:r>
        <w:rPr>
          <w:rFonts w:ascii="calibri" w:hAnsi="calibri" w:eastAsia="calibri" w:cs="calibri"/>
          <w:sz w:val="24"/>
          <w:szCs w:val="24"/>
        </w:rPr>
        <w:t xml:space="preserve">niesamowitą okazję, by całkowicie za darmo mogli wypromować swoją Agencję na platformie jednej z najszybciej rozwijającej się sieci pośrednictwa kredytowego.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GTF, czyniąc ofertę kompleksową, wesprze podstronę Agencji darmową usługą pozycjonowania na kluczowe hasła odpowiednio przypisane do partnera i lokalizacji.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Wiele firm w mniejszych miastach, nie ma świadomości, jak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istotnym zagadnieniem w dzisiejszym biznesie jest „widoczność w internecie”. A dziś pierwszym krokiem Klienta w procesie zakupowym staje się wyszukiwarka Google. Dzięki naszej akcji,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kredytobiorcy poszukujący w internecie szybkiej pożyczki w wybranym mieście zostaną nakierowani na współpracującą z nami Agencję. Udział w programie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pozwoli więc na realne zwiększenie potencjału marketingowego oraz wzrost lokalnej sprzedaży produktów bankowych.</w:t>
      </w:r>
      <w:r>
        <w:rPr>
          <w:rFonts w:ascii="calibri" w:hAnsi="calibri" w:eastAsia="calibri" w:cs="calibri"/>
          <w:sz w:val="24"/>
          <w:szCs w:val="24"/>
        </w:rPr>
        <w:t xml:space="preserve"> - informuje Paweł Kosmala. 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208px; height:9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kontaktowe wpisane przez internautę na stronie marketingowej będą bezpośrednio przekazywane na adres e-mail Agencji, przez co będzie ona stale i na bieżąco informowana o efektach prowadzonej akcji. Po zakończeniu programu pilotażowego trwającego 6 miesięcy, GTF przygotuje i zaprezentujemy podsumowanie jak wstawiona podstrona i pozycjonowanie wpłynęło na wzrost zapytań do biura oraz sprzedaż. Wówczas to Agencja podejmie decyzję o przedłużeniu okresu pozycjonowania.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2026-06-05T22:17:14+02:00</dcterms:created>
  <dcterms:modified xsi:type="dcterms:W3CDTF">2026-06-05T22:17:14+02:00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