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- Ekspansja języków w krajobrazie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Bruksela, 22. września 2014 r. – „Tylko poprzez propagowanie wielojęzyczności w dostępie do Internetu możemy nadać praktyczne znaczenie naszemu rozumieniu Internetu jako prawdziwie globalnego i powszechnie dostępnego środowiska” – stwierdza Neelie Kroes, Wiceprzewodnicząca Komisji Europejskiej, we wstępie do World Report Internationalised Domain Names (IDN) z 2014 roku, opracowanego przez EURid i UNESCO we współpracy z firmą Verisign i regionalnymi zrzeszeniami rejestrów krajowych domen najwyższego poziomu (CENTR, LACTLD, APTLD i AFTLD).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Umiędzynarodowione nazwy domen (IDN) były początkowo, od 2000 r., stosowane na drugim poziomie (na przykład: παράδειγμα.eu). W 2009 r. pojawiła się możliwość rejestrowania całych nazw domen w alfabetach innych niż łaciński (na przykład: 例子.中国). Pod koniec 2013 r. istniało 6 milionów IDN (łącznie z nazwami drugiego poziomu i domenami najwyższego poziomu IDN). Jednak liczba ta obejmuje zaledwie 2% nazw domen zarejestrowanych na całym świecie (270 milionów).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EURid, jako organizacja zarządzająca domeną najwyższego poziomu .eu, obsługuje IDN na drugim poziomie od końca 2009 r. i wnioskowała o domenę .eu w grece i cyrylicy, aby zapewnić pełny dostęp do IDN obywatelom tych państw UE, których języki nie są oparte na alfabecie łacińskim.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promujemy wielojęzyczność w IDN od samego początku i oferujemy rozszerzone wsparcie dla klientów we wszystkich 24 oficjalnych językach UE, a w najbliższej przyszłości planujemy także wprowadzenie domeny najwyższego poziomu .eu w grece i cyrylicy</w:t>
      </w:r>
      <w:r>
        <w:rPr>
          <w:rFonts w:ascii="calibri" w:hAnsi="calibri" w:eastAsia="calibri" w:cs="calibri"/>
          <w:sz w:val="24"/>
          <w:szCs w:val="24"/>
        </w:rPr>
        <w:t xml:space="preserve">” – skomentował Giovanni Seppia, Menedżer ds. Kontaktów Zewnętrznych EURid.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raport dowodzi, że chociaż IDN są dalekie od „internacjonalizacji”, to cechują się bardzo wysokim poziomem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gTLD (generic Top-Level Domain) czyli funkcjonalne domeny najwyższego poziomu stanowiły obietnicę wypełnienia niezaspokojonych potrzeb w systemie nazw domen. Najważniejszą z nich jest konieczność zwiększenia różnorodności językowej. W przypadku 90% nowych ciągów znaków gTLD (np. .photography), zarówno w języku angielskim jak i językach zrozumiałych dla osób angielskojęzycznych, ta szansa została – jak na razie – zaprzepaszczona.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Potencjał do zwiększenia penetracji Internetu występuje w krajach Azji i Pacyfiku, Afryki oraz Ameryki Łacińskiej, w których angielski nie jest pierwszym językiem. Aby IDN mogły wykorzystać swój potencjał, wiele podmiotów musi dokonywać zmian, sprzyjających zwiększaniu powszechnej akceptacji, tak by IDN mogły być bezproblemowo używane w każdym środowisku</w:t>
      </w:r>
      <w:r>
        <w:rPr>
          <w:rFonts w:ascii="calibri" w:hAnsi="calibri" w:eastAsia="calibri" w:cs="calibri"/>
          <w:sz w:val="24"/>
          <w:szCs w:val="24"/>
        </w:rPr>
        <w:t xml:space="preserve">” – konkluduje główny autor raportu, Emily Taylor.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pełny raport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http://link.eurid.eu/insights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k.eurid.eu/ins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2026-01-28T10:26:29+01:00</dcterms:created>
  <dcterms:modified xsi:type="dcterms:W3CDTF">2026-01-28T10:26:29+01:00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