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RAPORT - Ekspansja języków w krajobrazie internetowym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Bruksela, 22. września 2014 r. – „Tylko poprzez propagowanie wielojęzyczności w dostępie do Internetu możemy nadać praktyczne znaczenie naszemu rozumieniu Internetu jako prawdziwie globalnego i powszechnie dostępnego środowiska” – stwierdza Neelie Kroes, Wiceprzewodnicząca Komisji Europejskiej, we wstępie do World Report Internationalised Domain Names (IDN) z 2014 roku, opracowanego przez EURid i UNESCO we współpracy z firmą Verisign i regionalnymi zrzeszeniami rejestrów krajowych domen najwyższego poziomu (CENTR, LACTLD, APTLD i AFTLD).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Umiędzynarodowione nazwy domen (IDN) były początkowo, od 2000 r., stosowane na drugim poziomie (na przykład: παράδειγμα.eu). W 2009 r. pojawiła się możliwość rejestrowania całych nazw domen w alfabetach innych niż łaciński (na przykład: 例子.中国). Pod koniec 2013 r. istniało 6 milionów IDN (łącznie z nazwami drugiego poziomu i domenami najwyższego poziomu IDN). Jednak liczba ta obejmuje zaledwie 2% nazw domen zarejestrowanych na całym świecie (270 milionów).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EURid, jako organizacja zarządzająca domeną najwyższego poziomu .eu, obsługuje IDN na drugim poziomie od końca 2009 r. i wnioskowała o domenę .eu w grece i cyrylicy, aby zapewnić pełny dostęp do IDN obywatelom tych państw UE, których języki nie są oparte na alfabecie łacińskim.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dumni, że promujemy wielojęzyczność w IDN od samego początku i oferujemy rozszerzone wsparcie dla klientów we wszystkich 24 oficjalnych językach UE, a w najbliższej przyszłości planujemy także wprowadzenie domeny najwyższego poziomu .eu w grece i cyrylicy</w:t>
      </w:r>
      <w:r>
        <w:rPr>
          <w:rFonts w:ascii="calibri" w:hAnsi="calibri" w:eastAsia="calibri" w:cs="calibri"/>
          <w:sz w:val="24"/>
          <w:szCs w:val="24"/>
        </w:rPr>
        <w:t xml:space="preserve">” – skomentował Giovanni Seppia, Menedżer ds. Kontaktów Zewnętrznych EURid.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Niniejszy raport dowodzi, że chociaż IDN są dalekie od „internacjonalizacji”, to cechują się bardzo wysokim poziomem lokalizacji.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gTLD (generic Top-Level Domain) czyli funkcjonalne domeny najwyższego poziomu stanowiły obietnicę wypełnienia niezaspokojonych potrzeb w systemie nazw domen. Najważniejszą z nich jest konieczność zwiększenia różnorodności językowej. W przypadku 90% nowych ciągów znaków gTLD (np. .photography), zarówno w języku angielskim jak i językach zrozumiałych dla osób angielskojęzycznych, ta szansa została – jak na razie – zaprzepaszczona.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Potencjał do zwiększenia penetracji Internetu występuje w krajach Azji i Pacyfiku, Afryki oraz Ameryki Łacińskiej, w których angielski nie jest pierwszym językiem. Aby IDN mogły wykorzystać swój potencjał, wiele podmiotów musi dokonywać zmian, sprzyjających zwiększaniu powszechnej akceptacji, tak by IDN mogły być bezproblemowo używane w każdym środowisku</w:t>
      </w:r>
      <w:r>
        <w:rPr>
          <w:rFonts w:ascii="calibri" w:hAnsi="calibri" w:eastAsia="calibri" w:cs="calibri"/>
          <w:sz w:val="24"/>
          <w:szCs w:val="24"/>
        </w:rPr>
        <w:t xml:space="preserve">” – konkluduje główny autor raportu, Emily Taylor.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Pobierz pełny raport ze strony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http://link.eurid.eu/insights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link.eurid.eu/insigh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2025-07-16T01:58:56+02:00</dcterms:created>
  <dcterms:modified xsi:type="dcterms:W3CDTF">2025-07-16T01:58:56+02:00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