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RAPORT - Ekspansja języków w krajobrazie internetowym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Bruksela, 22. września 2014 r. – „Tylko poprzez propagowanie wielojęzyczności w dostępie do Internetu możemy nadać praktyczne znaczenie naszemu rozumieniu Internetu jako prawdziwie globalnego i powszechnie dostępnego środowiska” – stwierdza Neelie Kroes, Wiceprzewodnicząca Komisji Europejskiej, we wstępie do World Report Internationalised Domain Names (IDN) z 2014 roku, opracowanego przez EURid i UNESCO we współpracy z firmą Verisign i regionalnymi zrzeszeniami rejestrów krajowych domen najwyższego poziomu (CENTR, LACTLD, APTLD i AFTLD).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Umiędzynarodowione nazwy domen (IDN) były początkowo, od 2000 r., stosowane na drugim poziomie (na przykład: παράδειγμα.eu). W 2009 r. pojawiła się możliwość rejestrowania całych nazw domen w alfabetach innych niż łaciński (na przykład: 例子.中国). Pod koniec 2013 r. istniało 6 milionów IDN (łącznie z nazwami drugiego poziomu i domenami najwyższego poziomu IDN). Jednak liczba ta obejmuje zaledwie 2% nazw domen zarejestrowanych na całym świecie (270 milionów).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EURid, jako organizacja zarządzająca domeną najwyższego poziomu .eu, obsługuje IDN na drugim poziomie od końca 2009 r. i wnioskowała o domenę .eu w grece i cyrylicy, aby zapewnić pełny dostęp do IDN obywatelom tych państw UE, których języki nie są oparte na alfabecie łacińskim.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Jesteśmy dumni, że promujemy wielojęzyczność w IDN od samego początku i oferujemy rozszerzone wsparcie dla klientów we wszystkich 24 oficjalnych językach UE, a w najbliższej przyszłości planujemy także wprowadzenie domeny najwyższego poziomu .eu w grece i cyrylicy</w:t>
      </w:r>
      <w:r>
        <w:rPr>
          <w:rFonts w:ascii="calibri" w:hAnsi="calibri" w:eastAsia="calibri" w:cs="calibri"/>
          <w:sz w:val="24"/>
          <w:szCs w:val="24"/>
        </w:rPr>
        <w:t xml:space="preserve">” – skomentował Giovanni Seppia, Menedżer ds. Kontaktów Zewnętrznych EURid.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Niniejszy raport dowodzi, że chociaż IDN są dalekie od „internacjonalizacji”, to cechują się bardzo wysokim poziomem lokalizacji.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gTLD (generic Top-Level Domain) czyli funkcjonalne domeny najwyższego poziomu stanowiły obietnicę wypełnienia niezaspokojonych potrzeb w systemie nazw domen. Najważniejszą z nich jest konieczność zwiększenia różnorodności językowej. W przypadku 90% nowych ciągów znaków gTLD (np. .photography), zarówno w języku angielskim jak i językach zrozumiałych dla osób angielskojęzycznych, ta szansa została – jak na razie – zaprzepaszczona.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Potencjał do zwiększenia penetracji Internetu występuje w krajach Azji i Pacyfiku, Afryki oraz Ameryki Łacińskiej, w których angielski nie jest pierwszym językiem. Aby IDN mogły wykorzystać swój potencjał, wiele podmiotów musi dokonywać zmian, sprzyjających zwiększaniu powszechnej akceptacji, tak by IDN mogły być bezproblemowo używane w każdym środowisku</w:t>
      </w:r>
      <w:r>
        <w:rPr>
          <w:rFonts w:ascii="calibri" w:hAnsi="calibri" w:eastAsia="calibri" w:cs="calibri"/>
          <w:sz w:val="24"/>
          <w:szCs w:val="24"/>
        </w:rPr>
        <w:t xml:space="preserve">” – konkluduje główny autor raportu, Emily Taylor.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Pobierz pełny raport ze strony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http://link.eurid.eu/insights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link.eurid.eu/insight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2025-04-13T14:58:27+02:00</dcterms:created>
  <dcterms:modified xsi:type="dcterms:W3CDTF">2025-04-13T14:58:27+02:00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