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Użytkownicy banków i innych organizacji finansowych stanowią cel co piątego ataku phishingowego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Celem co piątego ataku phishingowego w okresie między majem 2012 r. a końcem kwietnia 2013 r. byli użytkownicy banków i innych organizacji finansowych. Tak wynika z badania dotyczącego ewolucji zagrożeń phishingowych przeprowadzonego przez specjalistów z Kaspersky Lab z wykorzystaniem danych pochodzących z opartej na chmurze usługi Kaspersky Security Network.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Według danych Kaspersky Lab, 20,64% wszystkich zagrożeń phishingowych odnotowanych w omawianym okresie było wymierzonych w konta w bankach i innych organizacjach finansowych na całym świecie. Dane uzyskane z chmury Kaspersky Security Network zostały pośrednio potwierdzone przez banki: wyniki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globalnego badania</w:t>
        </w:r>
      </w:hyperlink>
      <w:r>
        <w:rPr>
          <w:rFonts w:ascii="calibri" w:hAnsi="calibri" w:eastAsia="calibri" w:cs="calibri"/>
          <w:sz w:val="24"/>
          <w:szCs w:val="24"/>
        </w:rPr>
        <w:t xml:space="preserve"> przeprowadzonego wiosną 2013 r. przez B2B International i Kaspersky Lab pokazują, że około 37% banków przynajmniej jeden raz padło ofiarą ataków phishingowych w ciągu poprzednich 12 miesięcy.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 ma nic dziwnego w tym, że sektor bankowy i usługi e-handlu przyciągają niechcianą uwagę przestępców: owocem ataku na wyszukiwarki, portale społecznościowe czy serwisy pocztowe, nawet jeśli jest udany, mogą być jedynie dane osobiste użytkowników. Aby osiągnąć zysk, cyberprzestępcy muszą znaleźć nabywców dla takich informacji. Z drugiej strony, skuteczne wykorzystanie fałszywych stron sklepów internetowych czy bankowości online daje oszustom bezpośrednie korzyści finansowe.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Warto pamiętać, że mimo masowej skali zagrożeń związanych z atakami phishingowymi, zapewnienie ochrony transakcjom online nie musi być skomplikowane - wystarczające jest zainstalowanie skutecznego produktu bezpieczeństwa z niezbędną funkcjonalnością.</w:t>
      </w:r>
    </w:p>
    <w:p>
      <w:pPr>
        <w:spacing w:before="0" w:after="300"/>
      </w:pP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Technologia Bezpieczne pieniądze – bankowość i zakupy online pod ochroną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Produkty firmy Kaspersky Lab przeznaczone dla użytkowników indywidualnych – Kaspersky Internet Security oraz Kaspersky PURE – chronią operacje finansowe online dzięki zastosowaniu unikatowej technologii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Bezpieczne pieniądze</w:t>
        </w:r>
      </w:hyperlink>
      <w:r>
        <w:rPr>
          <w:rFonts w:ascii="calibri" w:hAnsi="calibri" w:eastAsia="calibri" w:cs="calibri"/>
          <w:sz w:val="24"/>
          <w:szCs w:val="24"/>
        </w:rPr>
        <w:t xml:space="preserve">. Funkcja ta wyróżnia się tym, że została opracowana na podstawie analizy technik wykorzystywanych przez oszustów do atakowania użytkowników serwisów bankowych i sklepów online.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Arsenał metod zabezpieczających wchodzących w skład technologii Bezpieczne pieniądze obejmuje zaawansowane funkcje ochrony przed phishingiem i eliminuje możliwość uruchomienia szkodliwego programu w systemie. Ponadto, technologia sprawdza, czy użytkownicy wchodzą na legalne strony, wykorzystując w tym celu nieustannie aktualizowaną bazę zaufanych witryn internetowych i phishingowych adresów URL. Jednocześnie, zintegrowane w produktach firmy Kaspersky Lab mechanizmy proaktywne potrafią skutecznie wykrywać szkodliwe odsyłacze, nawet jeśli nie znajdują się one w bazie danych.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Technologia Bezpieczne pieniądze zadebiutowała w 2012 r. w produkcie Kaspersky Internet Security 2013. Od tego czasu jej korzyści doceniły miliony użytkowników na całym świecie.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Informację można wykorzystać dowolnie z zastrzeżeniem podania firmy Kaspersky Lab jako źródła.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media.kaspersky.com/en/business-security/Kaspersky_Global_IT_Security_Risks_Survey_report_Eng_final.pdf" TargetMode="External"/><Relationship Id="rId8" Type="http://schemas.openxmlformats.org/officeDocument/2006/relationships/hyperlink" Target="http://www.kaspersky.pl/images/news/klp_2013_bezpieczne_pieniadze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2026-08-10T10:21:50+02:00</dcterms:created>
  <dcterms:modified xsi:type="dcterms:W3CDTF">2026-08-10T10:21:50+02:00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