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Pragma Faktoring SA prognozuje przychody netto wyższe o 16 proc.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Według szacunkowych skonsolidowanych danych w I kwartale br. GK Pragma Faktoring SA osiągnęła ponad 4,6 mln zł przychodów netto. Oznacza to 16-proc. wzrost w porównaniu z rokiem ubiegłym. Istotnie wzrosty zostały osiągnięte dzięki usłudze faktoringu, która jest priorytetowa w ofercie Spółki.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stycznia do końca marca 2014 roku </w:t>
      </w:r>
      <w:r>
        <w:rPr>
          <w:rFonts w:ascii="calibri" w:hAnsi="calibri" w:eastAsia="calibri" w:cs="calibri"/>
          <w:sz w:val="24"/>
          <w:szCs w:val="24"/>
          <w:b/>
        </w:rPr>
        <w:t xml:space="preserve">przychody netto z usługi faktoringu wzrosły aż o 30 proc. r/r do kwoty 2,99 mln zł.</w:t>
      </w:r>
      <w:r>
        <w:rPr>
          <w:rFonts w:ascii="calibri" w:hAnsi="calibri" w:eastAsia="calibri" w:cs="calibri"/>
          <w:sz w:val="24"/>
          <w:szCs w:val="24"/>
        </w:rPr>
        <w:t xml:space="preserve">Dla porównania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 analogicznym okresie roku ubiegłego Spółka wypracowała przychody netto z usługi faktoringu na poziomie 2,3 mln.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Przyjęta strategia Spółki kładzie spory nacisk na budowanie zdywersyfikowanego portfela powtarzalnych i wysokich jakościowo transakcji faktoringowych za cenę niższych marż. Zgodnie z założeniami pozwoliło to wygenerować zdecydowanie wyższe niż dotychczas przychody faktoringowe.”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</w:rPr>
        <w:t xml:space="preserve">zauważa Jakub Holewa, Wiceprezes Zarządu Pragma Faktoring SA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Przychody brutto wzrosły r/r o 6 proc. do kwoty 81,3 mln zł. Według wstępnych szacunków wraz ze wzrostem przychodów GK Pragma Faktoring SA zdecydowanie wzrosły również: </w:t>
      </w:r>
      <w:r>
        <w:rPr>
          <w:rFonts w:ascii="calibri" w:hAnsi="calibri" w:eastAsia="calibri" w:cs="calibri"/>
          <w:sz w:val="24"/>
          <w:szCs w:val="24"/>
          <w:b/>
        </w:rPr>
        <w:t xml:space="preserve">wynik na sprzedaży o 43 proc. w porównaniu r/r</w:t>
      </w:r>
      <w:r>
        <w:rPr>
          <w:rFonts w:ascii="calibri" w:hAnsi="calibri" w:eastAsia="calibri" w:cs="calibri"/>
          <w:sz w:val="24"/>
          <w:szCs w:val="24"/>
        </w:rPr>
        <w:t xml:space="preserve"> osiągając wartość 2,27 mln. zł oraz </w:t>
      </w:r>
      <w:r>
        <w:rPr>
          <w:rFonts w:ascii="calibri" w:hAnsi="calibri" w:eastAsia="calibri" w:cs="calibri"/>
          <w:sz w:val="24"/>
          <w:szCs w:val="24"/>
          <w:b/>
        </w:rPr>
        <w:t xml:space="preserve">wynik brutto do kwoty 1,2 mln zł, co oznacza wzrost o 116 proc. w porównaniu z I kwartałem 2013 r.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SKONSOLIDOWANE DANE FINANSOWE GK PRAGMA FAKTORING S.A. (w tyś. zł)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 Q 2014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 Q 2013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r/r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Przychody brutto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81 255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76 396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106%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Przychody netto, w tym: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4 612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3 992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116%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Faktoring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2 991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2 306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130%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Pożyczki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1 545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1 505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103%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Wynik na sprzedaży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2 276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1 586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143%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Wynik brutto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1 239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574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216%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Wynik netto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1 002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1 870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54%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Kondycja finansowa Grupy jest dowodem na to, że przyjęty model biznesowy się sprawdza. GK Pragma Faktoring SA należy do GK PRAGMA INKASO, dzięki czemu ma możliwość korzystania z potencjału organizacyjnego pozwalającego rozwijać skalę działalności bez zwiększania kosztów stałych.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Zarząd pozytywnie ocenia pierwsze trzy miesiące tego roku, a regularnie rosnąca kontraktacja pozwala liczyć na dalsze wzrosty przychodów w kolejnych okresach.” - </w:t>
      </w:r>
      <w:r>
        <w:rPr>
          <w:rFonts w:ascii="calibri" w:hAnsi="calibri" w:eastAsia="calibri" w:cs="calibri"/>
          <w:sz w:val="24"/>
          <w:szCs w:val="24"/>
        </w:rPr>
        <w:t xml:space="preserve">Jakub Holewa, Wiceprezes Zarządu Pragma Faktoring S.A.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Pragma Faktoring S.A.</w:t>
      </w:r>
      <w:r>
        <w:rPr>
          <w:rFonts w:ascii="calibri" w:hAnsi="calibri" w:eastAsia="calibri" w:cs="calibri"/>
          <w:sz w:val="24"/>
          <w:szCs w:val="24"/>
        </w:rPr>
        <w:t xml:space="preserve"> to niezależna od banku instytucja finansowa, obecna na rynku od 1996 roku. Od tego czasu ugruntowała swoją pozycję na krajowym rynku usług faktoringu. Jako Grupa Finansowa Premium w 2007 roku Spółka zadebiutowała na Giełdzie Papierów Wartościowych w Warszawie. Od stycznia 2011 roku akcjonariuszem większościowym Spółki jest Pragma Inkaso SA. Dwa miesiące później nastąpiła oficjalna zmiana nazwy z Grupa Finansowa Premium SA na Pragma Faktoring SA. Spółka w swojej ofercie posiada rozwiązania faktoringowe, w tym faktoring klasyczny, eksportowy i uproszczony. Niestosowanie bankowych standardów zdolności kredytowej skutkuje większą dostępnością produktów finansowych. Spółka posiada ofertę bardzo przyjazną sektorowi MSP. Dostępność, wymogi dokumentacyjne oraz procedury są dostosowane do oczekiwań i możliwości małych i średnich przedsiębiorstw.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2026-10-20T20:22:25+02:00</dcterms:created>
  <dcterms:modified xsi:type="dcterms:W3CDTF">2026-10-20T20:22:25+02:00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