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Pragma Faktoring SA prognozuje przychody netto wyższe o 16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szacunkowych skonsolidowanych danych w I kwartale br. GK Pragma Faktoring SA osiągnęła ponad 4,6 mln zł przychodów netto. Oznacza to 16-proc. wzrost w porównaniu z rokiem ubiegłym. Istotnie wzrosty zostały osiągnięte dzięki usłudze faktoringu, która jest priorytetowa w ofercie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końca marca 2014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netto z usługi faktoringu wzrosły aż o 30 proc. r/r do kwoty 2,99 mln zł.</w:t>
      </w:r>
      <w:r>
        <w:rPr>
          <w:rFonts w:ascii="calibri" w:hAnsi="calibri" w:eastAsia="calibri" w:cs="calibri"/>
          <w:sz w:val="24"/>
          <w:szCs w:val="24"/>
        </w:rPr>
        <w:t xml:space="preserve">Dla porównania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analogicznym okresie roku ubiegłego Spółka wypracowała przychody netto z usługi faktoringu na poziomie 2,3 mln.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Przyjęta strategia Spółki kładzie spory nacisk na budowanie zdywersyfikowanego portfela powtarzalnych i wysokich jakościowo transakcji faktoringowych za cenę niższych marż. Zgodnie z założeniami pozwoliło to wygenerować zdecydowanie wyższe niż dotychczas przychody faktoringowe.”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zauważa Jakub Holewa, Wiceprezes Zarządu Pragma Faktoring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 wzrosły r/r o 6 proc. do kwoty 81,3 mln zł. Według wstępnych szacunków wraz ze wzrostem przychodów GK Pragma Faktoring SA zdecydowanie wzrosły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o 43 proc. w porównaniu r/r</w:t>
      </w:r>
      <w:r>
        <w:rPr>
          <w:rFonts w:ascii="calibri" w:hAnsi="calibri" w:eastAsia="calibri" w:cs="calibri"/>
          <w:sz w:val="24"/>
          <w:szCs w:val="24"/>
        </w:rPr>
        <w:t xml:space="preserve"> osiągając wartość 2,27 mln. zł oraz </w:t>
      </w:r>
      <w:r>
        <w:rPr>
          <w:rFonts w:ascii="calibri" w:hAnsi="calibri" w:eastAsia="calibri" w:cs="calibri"/>
          <w:sz w:val="24"/>
          <w:szCs w:val="24"/>
          <w:b/>
        </w:rPr>
        <w:t xml:space="preserve">wynik brutto do kwoty 1,2 mln zł, co oznacza wzrost o 116 proc. w porównaniu z I kwartałem 2013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DANE FINANSOWE GK PRAGMA FAKTORING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81 255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76 396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netto, w tym: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4 612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3 992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Faktoring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2 991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2 306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1 505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2 276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1 239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574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216%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1 002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54%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Kondycja finansowa Grupy jest dowodem na to, że przyjęty model biznesowy się sprawdza. GK Pragma Faktoring SA należy do GK PRAGMA INKASO, dzięki czemu ma możliwość korzystania z potencjału organizacyjnego pozwalającego rozwijać skalę działalności bez zwiększania kosztów stałych.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pozytywnie ocenia pierwsze trzy miesiące tego roku, a regularnie rosnąca kontraktacja pozwala liczyć na dalsze wzrosty przychodów w kolejnych okresach.” - </w:t>
      </w:r>
      <w:r>
        <w:rPr>
          <w:rFonts w:ascii="calibri" w:hAnsi="calibri" w:eastAsia="calibri" w:cs="calibri"/>
          <w:sz w:val="24"/>
          <w:szCs w:val="24"/>
        </w:rPr>
        <w:t xml:space="preserve">Jakub Holewa, Wiceprezes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2026-04-21T14:18:19+02:00</dcterms:created>
  <dcterms:modified xsi:type="dcterms:W3CDTF">2026-04-21T14:18:19+02:00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