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Prestiżowe certyfikaty dla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została uhonorowana w maju br. dwoma prestiżowymi certyfikatami: Certyfikatem Wiarygodności Biznesowej oraz certyfikatem „Złoty Płatnik 2014”.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Wiarygodności Biznesowej jest nadawany przez wywiadownię gospodarczą Bisnode Polska. Do grona nagrodzonych należą firmy o najwyższej i wysokiej ocenie stabilności. Kolporter otrzymał Certyfikat Wiarygodności Biznesowej drugi rok z rzędu.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certyfikat „Złoty Płatnik”, przyznawany przez grupę ubezpieczeniowo-finansową Euler Hermes, jest wyróżnieniem za zachowanie najwyższych standardów płatniczych. Laureatami zostają firmy uzyskujące w danym roku najwyższy tzw. Wskaźnik Moralności Płatniczej.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w Polsce. Oferuje kompleksową obsługę punktów handlowych i sieci sprzedaży oraz świadczy usługi logistyczne i reklamowe. Spółka zbudowała największą w Polsce, zlokalizowaną w sklepach detalicznych, sieć ponad 25 tysięcy terminali do sprzedaży doładowań prepaid. Terminale realizują również płatności i usługi elektroniczne. Kolporter jest właścicielem 820 saloników prasowych i 192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