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IKZE na topie – Polacy coraz częściej myślą o zabezpieczeniu swojej przyszłości</w:t>
      </w:r>
    </w:p>
    <w:p>
      <w:pPr>
        <w:spacing w:before="0" w:after="500" w:line="264" w:lineRule="auto"/>
      </w:pPr>
      <w:r>
        <w:rPr>
          <w:rFonts w:ascii="calibri" w:hAnsi="calibri" w:eastAsia="calibri" w:cs="calibri"/>
          <w:sz w:val="36"/>
          <w:szCs w:val="36"/>
          <w:b/>
        </w:rPr>
        <w:t xml:space="preserve">Ubiegły rok wykazał rekordową liczbę nowo otwartych kont IKZE oraz potężną dynamikę wzrostu wpłat i zarządzanych aktywów. Na koniec 2014 roku na Indywidualnych Kontach Zabezpieczenia Emerytalnego zebrano aktywa w wysokości 295,4 mln PLN (wg danych KNF). Stanowi to wzrost o blisko 148% w stosunku do końca 2013 roku, kiedy suma środków w ramach tego produktu sięgała 119,2 mln zł. Przyszłych emerytów zachęca nie tylko rosnąca świadomość potrzeb na jesieni życia, ale również atrakcyjna ulga podatkowa od wpłat. Dla przykładu, w 2015 roku może ona wynieść nawet do 1 520,26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„Swoją popularność IKZE niewątpliwie zawdzięcza sporej uldze podatkowej. To właśnie dzięki niej ten produkt zyskuje na atrakcyjności wśród Polaków. Tak twierdzą nasi Klienci, którzy nie dość, że mogą coraz więcej odłożyć na swoją emeryturę, to jeszcze część tej kwoty,</w:t>
      </w:r>
      <w:r>
        <w:rPr>
          <w:rFonts w:ascii="calibri" w:hAnsi="calibri" w:eastAsia="calibri" w:cs="calibri"/>
          <w:sz w:val="24"/>
          <w:szCs w:val="24"/>
          <w:i/>
          <w:iCs/>
        </w:rPr>
        <w:t xml:space="preserve">w wysokości nawet do 1 520 zł, wróci do nich w postaci redukcji bądź zwrotu podatku. Co więcej, roczny limit wpłat na Indywidualne Konto Zabezpieczenia Emerytalnego </w:t>
      </w:r>
      <w:r>
        <w:rPr>
          <w:rFonts w:ascii="calibri" w:hAnsi="calibri" w:eastAsia="calibri" w:cs="calibri"/>
          <w:sz w:val="24"/>
          <w:szCs w:val="24"/>
          <w:i/>
          <w:iCs/>
        </w:rPr>
        <w:t xml:space="preserve">w 2015 roku wzrósł i </w:t>
      </w:r>
      <w:r>
        <w:rPr>
          <w:rFonts w:ascii="calibri" w:hAnsi="calibri" w:eastAsia="calibri" w:cs="calibri"/>
          <w:sz w:val="24"/>
          <w:szCs w:val="24"/>
          <w:i/>
          <w:iCs/>
        </w:rPr>
        <w:t xml:space="preserve">wynosi 4 750,80 zł (w porównaniu do 4 495,20 zł w 2014 r.)</w:t>
      </w:r>
      <w:r>
        <w:rPr>
          <w:rFonts w:ascii="calibri" w:hAnsi="calibri" w:eastAsia="calibri" w:cs="calibri"/>
          <w:sz w:val="24"/>
          <w:szCs w:val="24"/>
        </w:rPr>
        <w:t xml:space="preserve">. </w:t>
      </w:r>
      <w:r>
        <w:rPr>
          <w:rFonts w:ascii="calibri" w:hAnsi="calibri" w:eastAsia="calibri" w:cs="calibri"/>
          <w:sz w:val="24"/>
          <w:szCs w:val="24"/>
          <w:i/>
          <w:iCs/>
        </w:rPr>
        <w:t xml:space="preserve">Coraz chętniej wybieramy produkt dodatkowego zabezpieczenia emerytalnego, a dzięki zwiększeniu limitu staje się on jeszcze bardziej atrakcyjny dla potencjalnych nabywców. Wyższe wpłaty w perspektywie długoterminowej mogą mieć istotny wpływ na wysokość wypłacanych świadczeń w wieku emerytalnym</w:t>
      </w:r>
      <w:r>
        <w:rPr>
          <w:rFonts w:ascii="calibri" w:hAnsi="calibri" w:eastAsia="calibri" w:cs="calibri"/>
          <w:sz w:val="24"/>
          <w:szCs w:val="24"/>
        </w:rPr>
        <w:t xml:space="preserve">” – mówi Jacek Treumann, członek zarządu Legg Mason TFI SA.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Wszystkie wspomniane wyżej parametry produktu przyczyniają się do jego rosnącej popularności w ostatnich latach. Świadczą o tym dane KNF, które jasno mówią o potężnej dynamice wzrostu wpłat, które w 2014 roku wyniosły 201,8 mln PLN. Dało to wzrost aż o 228% w stosunku do 61,5 mln zł, zebranych w 2013 roku. Według danych Komisji Nadzoru Finansowego ponad dwukrotnie wzrosła też średnia wartość wpłaty na Indywidualne Konto Zabezpieczenia Emerytalnego i wniosła ona w ubiegłym roku 2,3 tys. zł.</w:t>
      </w:r>
    </w:p>
    <w:p>
      <w:pPr>
        <w:spacing w:before="0" w:after="300"/>
      </w:pPr>
      <w:r>
        <w:rPr>
          <w:rFonts w:ascii="calibri" w:hAnsi="calibri" w:eastAsia="calibri" w:cs="calibri"/>
          <w:sz w:val="24"/>
          <w:szCs w:val="24"/>
        </w:rPr>
        <w:t xml:space="preserve">Warto nadmienić, że sporą efektywnością w pozyskiwaniu wpłat na IKZE mogą pochwalić się Biura Maklerskie oraz fundusze inwestycyjne. Towarzystwa funduszy inwestycyjnych (TFI) wykazały wpłaty na 77% prowadzonych w 2014 roku kont. Wpływ na tak dużą część zasilonych kont ma charakter klientów, którzy decydują się na oszczędzanie w TFI. Są oni zdecydowanie bardziej świadomymi i perspektywicznymi użytkownikami IKZE. Często jest to dla nich produkt dodatkowy, dywersyfikujący portfel inwestycyjny.</w:t>
      </w:r>
    </w:p>
    <w:p>
      <w:pPr>
        <w:spacing w:before="0" w:after="300"/>
      </w:pPr>
      <w:r>
        <w:rPr>
          <w:rFonts w:ascii="calibri" w:hAnsi="calibri" w:eastAsia="calibri" w:cs="calibri"/>
          <w:sz w:val="24"/>
          <w:szCs w:val="24"/>
          <w:i/>
          <w:iCs/>
        </w:rPr>
        <w:t xml:space="preserve">„Suma wpłat, wzrosty zarządzanych aktywów, liczby otwartych i kontynuowanych kont – to wszystko wskazuje na coraz większą świadomość przyszłych polskich emerytów. W strukturze wiekowej najczęstszymi klientami otwierającymi IKZE są osoby pomiędzy 31. a 60. rokiem życia. Przedział wiekowy osób zainteresowanych produktami emerytalnymi przesuwa się dość znacznie w kierunku ludzi coraz młodszych, bardziej wyedukowanych finansowo i w zasadzie w pełni świadomych zagrożeń wynikających ze zbyt niskiej wartości wypracowanej emerytury w I filarze. To wszystko przekłada się na rosnące zainteresowanie dodatkowymi formami zabezpieczenia emerytalnego i pozwala osiągać tak dynamiczny wzrost w obrębie aktywów Indywidualnych Kont Zabezpieczenia Emerytalnego. Co więcej, warto wspomnieć, </w:t>
      </w:r>
      <w:r>
        <w:rPr>
          <w:rFonts w:ascii="calibri" w:hAnsi="calibri" w:eastAsia="calibri" w:cs="calibri"/>
          <w:sz w:val="24"/>
          <w:szCs w:val="24"/>
          <w:i/>
          <w:iCs/>
        </w:rPr>
        <w:t xml:space="preserve">że obecny rok dopiero się rozpoczął, a już obserwujemy wzmożone zainteresowanie tym produktem ze strony naszych klientów” – </w:t>
      </w:r>
      <w:r>
        <w:rPr>
          <w:rFonts w:ascii="calibri" w:hAnsi="calibri" w:eastAsia="calibri" w:cs="calibri"/>
          <w:sz w:val="24"/>
          <w:szCs w:val="24"/>
        </w:rPr>
        <w:t xml:space="preserve">dodaje Jacek Treumann z Legg Mason TFI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2026-01-31T22:24:36+01:00</dcterms:created>
  <dcterms:modified xsi:type="dcterms:W3CDTF">2026-01-31T22:24:36+01:00</dcterms:modified>
</cp:coreProperties>
</file>

<file path=docProps/custom.xml><?xml version="1.0" encoding="utf-8"?>
<Properties xmlns="http://schemas.openxmlformats.org/officeDocument/2006/custom-properties" xmlns:vt="http://schemas.openxmlformats.org/officeDocument/2006/docPropsVTypes"/>
</file>