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Park handlowy w Grudziądzu otwarty!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Zgodnie z założeniami Rank Progress SA otworzył dziś park handlowy w Grudziądzu. Inwestor oraz najemcy zaplanowali z tej okazji wiele atrakcji i rabatów dla klientów.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Inwestycja, będąca uzupełnieniem już istniejącego tam centrum, na terenie którego znajdują się markety Praktiker i Carrefour, zajmuje powierzchnię 5500 mkw.</w:t>
      </w:r>
      <w:r>
        <w:rPr>
          <w:rFonts w:ascii="calibri" w:hAnsi="calibri" w:eastAsia="calibri" w:cs="calibri"/>
          <w:sz w:val="24"/>
          <w:szCs w:val="24"/>
        </w:rPr>
        <w:t xml:space="preserve"> – mówi Łukasz Gruszczyński, Dyrektor Marketingu Rank Progress SA.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Mam nadzieję, że proponowana przez nas oferta spotka się z uznaniem klientów</w:t>
      </w:r>
      <w:r>
        <w:rPr>
          <w:rFonts w:ascii="calibri" w:hAnsi="calibri" w:eastAsia="calibri" w:cs="calibri"/>
          <w:sz w:val="24"/>
          <w:szCs w:val="24"/>
        </w:rPr>
        <w:t xml:space="preserve">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wszystkich odwiedzających przygotowano dziś liczne atrakcje i rabaty. Można wziął udział w konkursach, wygrać bony na zakupy oraz skorzystać z porad ekspertów.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wiodących najemców parku handlowego znajdują się – Media Expert (ponad 1400 mkw.), JYSK (1070 mkw.) oraz Rossmann (407mkw.). Otwarcie marketu spożywczego Marcpol (1 800 mkw.), zaplanowane jest na lato br.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Rank Progress SA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Rank Progress SA to firma inwestycyjno-deweloperska z siedzibą w Legnicy, działająca na polskim rynku nieruchomości od 1997 r. Spółka specjalizuje się w przygotowaniu i realizacji projektów obejmujących pozyskiwanie atrakcyjnie zlokalizowanych gruntów, a następnie w ich zabudowie obiektami handlowymi z przeznaczeniem na wynajem lub sprzedaż. Rank Progress tworzy grupę kapitałową obejmującą spółki celowe, poprzez które realizowane są poszczególne projekty. Istotnym atutem Grupy Rank Progress jest bank ziemi,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którego skład wchodzą atrakcyjnie zlokalizowane grunty na terenie całej Polski.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głównych inwestycji realizowanych przez Grupę Rank Progress należą wielkopowierzchniowe centra handlowo-usługowe, parki handlowe oraz galerie handlowe ulokowane w średniej wielkości miastach. Po ukończeniu obiekty te są odsprzedawane lub oddawane w najem. W latach 2001 – 2012 Rank Progress zrealizował 25 projektów inwestycyjnych, m.in. wielkopowierzchniowe centra handlowe, w tym wybudował 7 własnych galerii handlowych – w Jeleniej Górze, Legnicy i Świdnicy oraz sprzedanych już obiektów w Kaliszu, Kłodzku, Zamościu i Zgorzelcu.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2026-09-05T23:01:47+02:00</dcterms:created>
  <dcterms:modified xsi:type="dcterms:W3CDTF">2026-09-05T23:01:47+02:00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