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Park handlowy w Grudziądzu otwarty!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Zgodnie z założeniami Rank Progress SA otworzył dziś park handlowy w Grudziądzu. Inwestor oraz najemcy zaplanowali z tej okazji wiele atrakcji i rabatów dla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Inwestycja, będąca uzupełnieniem już istniejącego tam centrum, na terenie którego znajdują się markety Praktiker i Carrefour, zajmuje powierzchnię 5500 mkw.</w:t>
      </w:r>
      <w:r>
        <w:rPr>
          <w:rFonts w:ascii="calibri" w:hAnsi="calibri" w:eastAsia="calibri" w:cs="calibri"/>
          <w:sz w:val="24"/>
          <w:szCs w:val="24"/>
        </w:rPr>
        <w:t xml:space="preserve"> – mówi Łukasz Gruszczyński, Dyrektor Marketingu Rank Progress SA.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Mam nadzieję, że proponowana przez nas oferta spotka się z uznaniem klientów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wszystkich odwiedzających przygotowano dziś liczne atrakcje i rabaty. Można wziął udział w konkursach, wygrać bony na zakupy oraz skorzystać z porad ekspertów.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wiodących najemców parku handlowego znajdują się – Media Expert (ponad 1400 mkw.), JYSK (1070 mkw.) oraz Rossmann (407mkw.). Otwarcie marketu spożywczego Marcpol (1 800 mkw.), zaplanowane jest na lato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Rank Progress 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 Progress SA to firma inwestycyjno-deweloperska z siedzibą w Legnicy, działająca na polskim rynku nieruchomości od 1997 r. Spółka specjalizuje się w przygotowaniu i realizacji projektów obejmujących pozyskiwanie atrakcyjnie zlokalizowanych gruntów, a następnie w ich zabudowie obiektami handlowymi z przeznaczeniem na wynajem lub sprzedaż. Rank Progress tworzy grupę kapitałową obejmującą spółki celowe, poprzez które realizowane są poszczególne projekty. Istotnym atutem Grupy Rank Progress jest bank ziemi,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którego skład wchodzą atrakcyjnie zlokalizowane grunty na terenie całej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głównych inwestycji realizowanych przez Grupę Rank Progress należą wielkopowierzchniowe centra handlowo-usługowe, parki handlowe oraz galerie handlowe ulokowane w średniej wielkości miastach. Po ukończeniu obiekty te są odsprzedawane lub oddawane w najem. W latach 2001 – 2012 Rank Progress zrealizował 25 projektów inwestycyjnych, m.in. wielkopowierzchniowe centra handlowe, w tym wybudował 7 własnych galerii handlowych – w Jeleniej Górze, Legnicy i Świdnicy oraz sprzedanych już obiektów w Kaliszu, Kłodzku, Zamościu i Zgorzelcu.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2025-12-06T07:31:59+01:00</dcterms:created>
  <dcterms:modified xsi:type="dcterms:W3CDTF">2025-12-06T07:31:59+01:00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