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Historycznie niskie oprocentowanie kredytów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Osoby, które planują zakup mieszkania mają do tego teraz najlepsze warunki, kredyty hipoteczne są najtańsze w historii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Rada Polityki Pieniężnej już po raz piąty zdecydowała się obniżyć stopy procentowe, w wyniku czego oprocentowanie kredytów mieszkaniowych spadło do najniższego w historii poziomu. Dzięki temu zmalała stawka WIBOR, która ma główny wpływ na ogólny koszt oprocentowania (stawka WIBOR + marża bankowa).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Kredyty hipoteczne są dziś najniżej oprocentowane od 6 lat, wynika z danych Home Broker. W przypadku kredytu udzielanego na 30 lat w kwocie 300 tys. zł przy 25-proc. wkładzie własnym banki narzucają dziś marżę przekraczającą 1,5 proc., a przeciętne oprocentowanie kredytu hipotecznego wynosi 5,2 proc. Zaciągając takie zobowiązanie trzeba liczyć się z miesięczną ratą w kwocie 1654 zł, podczas gdy w marcu 2008 roku zapłacilibyśmy 2021 zł, wylicza Home Broker.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38 tys. zł wyższa zdolność kredytowa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Osoby, które chcą kupić mieszkanie, mogą pożyczyć teraz na nie, nie tylko taniej, ale i więcej. W miarę jak kredyty tanieją podnosi się zdolność kredytowa potencjalnych klientów banków. W wyniku spadku oprocentowania trzyosobowa rodzina o dochodach 5 tys. zł netto może teraz pożyczyć o 38 tys. zł więcej niż w grudniu minionego roku. W końcu 2012 roku banki przyznałyby jej kredyt na 30 lat w wysokości 365 tys. zł, a dziś prawie 403 tys. zł, wynika z danych Home Broker.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Złą wiadomością dla kredytobiorców są rosnące marże bankowe. Od sierpnia 2012 roku, kiedy stopy procentowe zaczęły maleć, instytucje finansowe zaczęły narzucać wyższe marże własne, które dotąd wzrosły średnio o prawie o 0,3 proc. Na marże, w wysokości poniżej 1 proc., jakie banki oferowały jeszcze rok temu nie można już dziś liczyć.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Pożyczamy niskie sumy – średnio 183 tys.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wzrostu wynagrodzeń i spadku cen mieszkań, kredyty wciąż bierzemy z rozwagą, nie pożyczając na mieszkania zbyt dużych sum. Coraz mniej kredytów udzielanych jest na 100 proc. wartości lokalu. Wybieramy mniejsze mieszkania i zaciągamy niższe kredyty. W ostatnim kwartale minionego roku najwięcej zobowiązań zamykało się w przedziale 100–200 tys. zł. Takie kredyty stanowiły blisko 35 proc. całej puli kredytów hipotecznych udzielonych w ostatnich trzech miesiącach 2012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Związku Banków Polskich zwracają uwagę, że systematycznie przybywa też kredytów do 100 tys. zł. Od września do grudnia ubiegłego roku co czwarty kredyt udzielany był w takiej wysokości. Zadłużaliśmy się przeciętnie na 183 tys. zł, znacznie mniej niż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Wybieramy tańsze mieszkania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Klienci bardzo skrupulatnie analizują dziś koszty związane z wieloletnią spłatą kredytów mieszkaniowych. Dlatego coraz częściej wybierają mniej kosztowne mieszkania zlokalizowane poza centrum miasta, ale w miejscach dobrze z nim skomunikowanych. Największym powodzeniem cieszą się nieduże, funkcjonalne lokale do 50 mkw. W inwestycjach, w których podobnie jak w naszym poznańskim projekcie, na osiedlu Red Park powstającym przy Lasku Dębiec, zaprojektowane zostały w większości takie właśnie mieszkania, wciąż nie brakuje klientów –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Zaciągamy głównie kredyty w złotych. To efekt polityki banków, które ograniczają dostęp do kredytów walutowych i wycofują je ze swoich ofert. Nie ma jednak większego powodu walczyć o kredyt w euro, bo miesięczna rata jego spłaty jest w tej chwili zbliżona do kredytu w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 i złoty kosztuje podobnie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podaje Comperia.pl, średnie oprocentowanie kredytów mieszkaniowych w złotych wyniosło w lutym br. 6,47 proc., a w euro – 6,60 proc. (dla kredytu w wysokości 200 tys. zł na 30 lat). Analitycy zwracają uwagę, że kredyty złotówkowe obciążone są mniejszymi kosztami całkowitymi i że wyliczenia rzeczywistej rocznej stopy oprocentowania, tzw. RRSO, są w ich przypadku bardziej zachęcające niż dla euro. Poza tym, nie istnieje ryzyko związane z kursem waluty.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tego banki bardziej skłonne są do negocjacji i chętniej oferują przy kredytach w złotych różnego rodzaju oferty specjalne. Walutowe produkty kredytowe skierowane są teraz wyłącznie do wąskiego grona osób zarabiających znacznie powyżej przeciętnej. Jeśli chcemy zaciągnąć zobowiązanie walutowe w euro, bo o takim praktycznie możemy dziś tylko mówić, musimy zarabiać kilkanaście tys. zł miesięcznie.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2025-06-08T14:40:42+02:00</dcterms:created>
  <dcterms:modified xsi:type="dcterms:W3CDTF">2025-06-08T14:40:42+02:00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