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Redan w maju poprawiła sprzedaż w obu segmentach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7,4% do 40,7 mln zł wzrosły w maju 2014 r. szacunkowe obroty Grupy Kapitałowej Redan, właściciela marek Top Secret, Troll, Drywash oraz sieci TextilMarket, w porównaniu do tego samego miesiąca 2013 r. W segmencie dyskontowym sprzedaż w ujęciu r./r. zwiększyła się o 12%, a w modowym o 2,1%.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„Sprzedaż w maju w obu segmentach oceniamy pozytywnie. W części dyskontowej osiągnęliśmy znacznie większy wzrost sprzedaży względem przyrostu powierzchni handlowej. Także w segmencie modowym przychody w minionym miesiącu były lepsze niż uzyskane w tym samym okresie rok wcześniej, ale zostało to osiągnięte mimo lekkiego zmniejszenia powierzchni sklepów.” </w:t>
      </w:r>
      <w:r>
        <w:rPr>
          <w:rFonts w:ascii="calibri" w:hAnsi="calibri" w:eastAsia="calibri" w:cs="calibri"/>
          <w:sz w:val="24"/>
          <w:szCs w:val="24"/>
        </w:rPr>
        <w:t xml:space="preserve">– powiedział Bogusz Kruszyński, Wiceprezes Zarządu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2014 r. przychody Grupy Redan wyniosły 40,7 mln zł, czyli 7,4% więcej niż rok wcześniej. Na koniec minionego miesiąca powierzchnia handlowa sieci wyniosła 102,1 tys. m2, co oznacza wzrost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2% w porównaniu do maja 2013 r. Narastająco od początku roku obroty Grupy sięgnęły 187,3 mln zł, co oznacza 8%.wzrost r./r.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TextilMarket w maju osiągnęła obroty w wysokości 23,2 mln zł, czyli o 12% większe niż przed rokiem. Sieć sprzedaży segmentu dyskontowego na koniec maja br. składała się z 292 sklepów własnych o łącznej powierzchni 63,1 tys. m2, czyli 4,5% więcej niż w maju 2013 r. Narastająco przez pierwszych pięć miesięcy obroty tego sektora zwiększyły się r./r. o 15,5% do 100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segmencie modowym sprzedaż marek odzieżowych Top Secret, Troll i Drywash w maju wyniosła 17,5 mln zł i była o 2,1% większa niż rok wcześniej. Z tego, uzyskano 2,1 mln zł, czyli 34% więcej niż w analogicznym okresie 2013 r. ze sprzedaży w kanale e-commerce. Łączna powierzchnia sieci sprzedaży sektora fashion na koniec maja 2014 r. wyniosła 39 tys. m2 i była o 1% mniejsza niż w maju 2013 r. Narastająco, przez pierwszych pięć miesięcy br., obroty segmentu modowego wzrosły r./r. o 0,5% do 87,3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2026-10-20T20:18:14+02:00</dcterms:created>
  <dcterms:modified xsi:type="dcterms:W3CDTF">2026-10-20T20:18:14+02:00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