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Redan w maju poprawiła sprzedaż w obu segmentach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 7,4% do 40,7 mln zł wzrosły w maju 2014 r. szacunkowe obroty Grupy Kapitałowej Redan, właściciela marek Top Secret, Troll, Drywash oraz sieci TextilMarket, w porównaniu do tego samego miesiąca 2013 r. W segmencie dyskontowym sprzedaż w ujęciu r./r. zwiększyła się o 12%, a w modowym o 2,1%.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„Sprzedaż w maju w obu segmentach oceniamy pozytywnie. W części dyskontowej osiągnęliśmy znacznie większy wzrost sprzedaży względem przyrostu powierzchni handlowej. Także w segmencie modowym przychody w minionym miesiącu były lepsze niż uzyskane w tym samym okresie rok wcześniej, ale zostało to osiągnięte mimo lekkiego zmniejszenia powierzchni sklepów.” </w:t>
      </w:r>
      <w:r>
        <w:rPr>
          <w:rFonts w:ascii="calibri" w:hAnsi="calibri" w:eastAsia="calibri" w:cs="calibri"/>
          <w:sz w:val="24"/>
          <w:szCs w:val="24"/>
        </w:rPr>
        <w:t xml:space="preserve">– powiedział Bogusz Kruszyński, Wiceprezes Zarządu Redan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maju 2014 r. przychody Grupy Redan wyniosły 40,7 mln zł, czyli 7,4% więcej niż rok wcześniej. Na koniec minionego miesiąca powierzchnia handlowa sieci wyniosła 102,1 tys. m2, co oznacza wzrost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2% w porównaniu do maja 2013 r. Narastająco od początku roku obroty Grupy sięgnęły 187,3 mln zł, co oznacza 8%.wzrost r./r.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Sieć TextilMarket w maju osiągnęła obroty w wysokości 23,2 mln zł, czyli o 12% większe niż przed rokiem. Sieć sprzedaży segmentu dyskontowego na koniec maja br. składała się z 292 sklepów własnych o łącznej powierzchni 63,1 tys. m2, czyli 4,5% więcej niż w maju 2013 r. Narastająco przez pierwszych pięć miesięcy obroty tego sektora zwiększyły się r./r. o 15,5% do 100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w segmencie modowym sprzedaż marek odzieżowych Top Secret, Troll i Drywash w maju wyniosła 17,5 mln zł i była o 2,1% większa niż rok wcześniej. Z tego, uzyskano 2,1 mln zł, czyli 34% więcej niż w analogicznym okresie 2013 r. ze sprzedaży w kanale e-commerce. Łączna powierzchnia sieci sprzedaży sektora fashion na koniec maja 2014 r. wyniosła 39 tys. m2 i była o 1% mniejsza niż w maju 2013 r. Narastająco, przez pierwszych pięć miesięcy br., obroty segmentu modowego wzrosły r./r. o 0,5% do 87,3 mln zł.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2025-07-30T16:50:56+02:00</dcterms:created>
  <dcterms:modified xsi:type="dcterms:W3CDTF">2025-07-30T16:50:56+02:00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