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Grupa Redan w maju poprawiła sprzedaż w obu segmentach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 7,4% do 40,7 mln zł wzrosły w maju 2014 r. szacunkowe obroty Grupy Kapitałowej Redan, właściciela marek Top Secret, Troll, Drywash oraz sieci TextilMarket, w porównaniu do tego samego miesiąca 2013 r. W segmencie dyskontowym sprzedaż w ujęciu r./r. zwiększyła się o 12%, a w modowym o 2,1%.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„Sprzedaż w maju w obu segmentach oceniamy pozytywnie. W części dyskontowej osiągnęliśmy znacznie większy wzrost sprzedaży względem przyrostu powierzchni handlowej. Także w segmencie modowym przychody w minionym miesiącu były lepsze niż uzyskane w tym samym okresie rok wcześniej, ale zostało to osiągnięte mimo lekkiego zmniejszenia powierzchni sklepów.” </w:t>
      </w:r>
      <w:r>
        <w:rPr>
          <w:rFonts w:ascii="calibri" w:hAnsi="calibri" w:eastAsia="calibri" w:cs="calibri"/>
          <w:sz w:val="24"/>
          <w:szCs w:val="24"/>
        </w:rPr>
        <w:t xml:space="preserve">– powiedział Bogusz Kruszyński, Wiceprezes Zarządu Redan 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maju 2014 r. przychody Grupy Redan wyniosły 40,7 mln zł, czyli 7,4% więcej niż rok wcześniej. Na koniec minionego miesiąca powierzchnia handlowa sieci wyniosła 102,1 tys. m2, co oznacza wzrost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2% w porównaniu do maja 2013 r. Narastająco od początku roku obroty Grupy sięgnęły 187,3 mln zł, co oznacza 8%.wzrost r./r.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Sieć TextilMarket w maju osiągnęła obroty w wysokości 23,2 mln zł, czyli o 12% większe niż przed rokiem. Sieć sprzedaży segmentu dyskontowego na koniec maja br. składała się z 292 sklepów własnych o łącznej powierzchni 63,1 tys. m2, czyli 4,5% więcej niż w maju 2013 r. Narastająco przez pierwszych pięć miesięcy obroty tego sektora zwiększyły się r./r. o 15,5% do 100 mln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kolei w segmencie modowym sprzedaż marek odzieżowych Top Secret, Troll i Drywash w maju wyniosła 17,5 mln zł i była o 2,1% większa niż rok wcześniej. Z tego, uzyskano 2,1 mln zł, czyli 34% więcej niż w analogicznym okresie 2013 r. ze sprzedaży w kanale e-commerce. Łączna powierzchnia sieci sprzedaży sektora fashion na koniec maja 2014 r. wyniosła 39 tys. m2 i była o 1% mniejsza niż w maju 2013 r. Narastająco, przez pierwszych pięć miesięcy br., obroty segmentu modowego wzrosły r./r. o 0,5% do 87,3 mln zł.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2025-04-14T21:28:11+02:00</dcterms:created>
  <dcterms:modified xsi:type="dcterms:W3CDTF">2025-04-14T21:28:11+02:00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