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Inpro zwiększyła przychody ze sprzedaży o 11% w 2013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Inpro, jeden z czołowych trójmiejskich deweloperów notowany na GPW w Warszawie, podsumowała wyniki za 2013 rok. Skonsolidowany zysk netto wyniósł 15,1 mln zł, przy osiągniętych przychodach ze sprzedaży w wysokości 178,3 mln zł. Wartość sprzedanych przez Grupę mieszkań wzrosła r/r o 42% i wyniosła 182 mln zł brutto.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w 2013 roku wypracowała skonsolidowane przychody ze sprzedaży na poziomie 178,3 mln zł, czyli o 10,8% wyższe niż w roku 2012, kiedy uzyskała 160,9 mln zł. Zysk netto w 2013 roku wyniósł 15,1 mln zł i zmniejszył się o 16% w porównaniu do roku 2012. Wpływ na obniżenie rentowności miała sytuacja na rynku deweloperskim i konieczność stosowania różnorodnych promocji. Dodatkowo na ostateczny poziom wyniku netto Grupy miały również wpływ koszty wyposażenia Hotelu Mikołajki Sp. z o.o., które zostały jednorazowo odpisane w koszty uzyskania przychodu.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poziomie jednostkowym przychody ze sprzedaży były o 16% wyższe r/r i wyniosły blisko 185 mln zł. Spółka w 2013 roku wydała więcej lokali niż rok wcześniej (410 sztuk w porównaniu do 344). Wypracowany zysk netto stanowił 8% sprzedaży w porównaniu z 11% w roku poprzednim.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„Miniony rok okazał się dużo lepszy niż początkowo zakładaliśmy, co pozwala nam z nadzieją patrzeć w przyszłość”.</w:t>
      </w:r>
      <w:r>
        <w:rPr>
          <w:rFonts w:ascii="calibri" w:hAnsi="calibri" w:eastAsia="calibri" w:cs="calibri"/>
          <w:sz w:val="24"/>
          <w:szCs w:val="24"/>
        </w:rPr>
        <w:t xml:space="preserve"> – powiedział Piotr Stefaniak, Prezes Spółki Inpro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sprzedała łącznie 499 mieszkań i domów brutto (w rozumieniu umów przedwstępnych), w tym INPRO SA - 443 lokale. Jest to o 21% więcej aniżeli w roku poprzednim. Po uwzględnieniu umów rozwiązanych, tzw. sprzedaż netto Grupy wyniosła 419 umów, natomiast sprzedaż netto INPRO wyniosła 373. Wartość sprzedanych przez Grupę mieszkań w 2013 roku to 182 mln zł brutto, wyższa o 54 mln zł (wzrost o 42%) od wartości uzyskanej w roku 2012.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2013 roku przekazała 468 lokali wobec 409 rok wcześniej, czyli o 14% więcej. Najlepszym okresem był I i IV kwartał. Grupa wydała wtedy odpowiednio 156 i 175 mieszkań. Istotny wpływ miały cztery inwestycje, które oddano do użytkowania w 2013 roku: trzy budynki osiedla City Park (B, C, D), dwa ostatnie budynki Osiedla Jabłoniowa (I i J), Chmielna Park budynek A oraz otwarcie kompleksu hotelowo-apartamentowego Hotel*****Mikołajki na Wyspie Ptasiej. Jednocześnie w przedmiotowym okresie Grupa INPRO SA wprowadziła do sprzedaży 428 lokali i domów w następujących projektach: Chmielna Park budynek B, City Park budynek E i F, Wróbla Staw domy wielorodzinne etap III, Wróbla Staw domy jednorodzinne etap D, Osiedle Leszczynowe budynek nr 13. Zakończona została także rozbudowa hotelu Dom Zdrojowy**** w Jastarni o 24 pokoje.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drugiej połowie 2014 roku Grupa planuje uruchomić sprzedaż pierwszych budynków z nowych projektów o bardzo atrakcyjnych lokalizacjach, m.in. w Gdańsku Oliwie przy ul. Grunwaldzkiej (grunt zakupiony w 2013 roku od TVP SA) oraz w Gdańsku Przymorzu, przy ul. Szczecińskiej. Rozpocznie się również budowa następnych etapów już prowadzonych projektów. To powinno pozwolić Grupie Inpro na utrzymanie wysokiego poziomu transakcji sprzedaży w 2014 roku, a w konsekwencji przyczynić się do dalszego, systematycznego wzrostu wartości INPRO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2025-04-28T11:40:41+02:00</dcterms:created>
  <dcterms:modified xsi:type="dcterms:W3CDTF">2025-04-28T11:40:41+02:00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