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zwiększyła przychody ze sprzedaży o 11% w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Inpro, jeden z czołowych trójmiejskich deweloperów notowany na GPW w Warszawie, podsumowała wyniki za 2013 rok. Skonsolidowany zysk netto wyniósł 15,1 mln zł, przy osiągniętych przychodach ze sprzedaży w wysokości 178,3 mln zł. Wartość sprzedanych przez Grupę mieszkań wzrosła r/r o 42% i wyniosła 182 mln zł brutto.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w 2013 roku wypracowała skonsolidowane przychody ze sprzedaży na poziomie 178,3 mln zł, czyli o 10,8% wyższe niż w roku 2012, kiedy uzyskała 160,9 mln zł. Zysk netto w 2013 roku wyniósł 15,1 mln zł i zmniejszył się o 16% w porównaniu do roku 2012. Wpływ na obniżenie rentowności miała sytuacja na rynku deweloperskim i konieczność stosowania różnorodnych promocji. Dodatkowo na ostateczny poziom wyniku netto Grupy miały również wpływ koszty wyposażenia Hotelu Mikołajki Sp. z o.o., które zostały jednorazowo odpisane w koszty uzyskania przychodu.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poziomie jednostkowym przychody ze sprzedaży były o 16% wyższe r/r i wyniosły blisko 185 mln zł. Spółka w 2013 roku wydała więcej lokali niż rok wcześniej (410 sztuk w porównaniu do 344). Wypracowany zysk netto stanowił 8% sprzedaży w porównaniu z 11% w roku poprzednim.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„Miniony rok okazał się dużo lepszy niż początkowo zakładaliśmy, co pozwala nam z nadzieją patrzeć w przyszłość”.</w:t>
      </w:r>
      <w:r>
        <w:rPr>
          <w:rFonts w:ascii="calibri" w:hAnsi="calibri" w:eastAsia="calibri" w:cs="calibri"/>
          <w:sz w:val="24"/>
          <w:szCs w:val="24"/>
        </w:rPr>
        <w:t xml:space="preserve"> – powiedział Piotr Stefaniak, Prezes Spółki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sprzedała łącznie 499 mieszkań i domów brutto (w rozumieniu umów przedwstępnych), w tym INPRO SA - 443 lokale. Jest to o 21% więcej aniżeli w roku poprzednim. Po uwzględnieniu umów rozwiązanych, tzw. sprzedaż netto Grupy wyniosła 419 umów, natomiast sprzedaż netto INPRO wyniosła 373. Wartość sprzedanych przez Grupę mieszkań w 2013 roku to 182 mln zł brutto, wyższa o 54 mln zł (wzrost o 42%) od wartości uzyskanej w roku 2012.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2013 roku przekazała 468 lokali wobec 409 rok wcześniej, czyli o 14% więcej. Najlepszym okresem był I i IV kwartał. Grupa wydała wtedy odpowiednio 156 i 175 mieszkań. Istotny wpływ miały cztery inwestycje, które oddano do użytkowania w 2013 roku: trzy budynki osiedla City Park (B, C, D), dwa ostatnie budynki Osiedla Jabłoniowa (I i J), Chmielna Park budynek A oraz otwarcie kompleksu hotelowo-apartamentowego Hotel*****Mikołajki na Wyspie Ptasiej. Jednocześnie w przedmiotowym okresie Grupa INPRO SA wprowadziła do sprzedaży 428 lokali i domów w następujących projektach: Chmielna Park budynek B, City Park budynek E i F, Wróbla Staw domy wielorodzinne etap III, Wróbla Staw domy jednorodzinne etap D, Osiedle Leszczynowe budynek nr 13. Zakończona została także rozbudowa hotelu Dom Zdrojowy**** w Jastarni o 24 pokoje.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2014 roku Grupa planuje uruchomić sprzedaż pierwszych budynków z nowych projektów o bardzo atrakcyjnych lokalizacjach, m.in. w Gdańsku Oliwie przy ul. Grunwaldzkiej (grunt zakupiony w 2013 roku od TVP SA) oraz w Gdańsku Przymorzu, przy ul. Szczecińskiej. Rozpocznie się również budowa następnych etapów już prowadzonych projektów. To powinno pozwolić Grupie Inpro na utrzymanie wysokiego poziomu transakcji sprzedaży w 2014 roku, a w konsekwencji przyczynić się do dalszego, systematycznego wzrostu wartości INPRO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2025-08-23T19:39:44+02:00</dcterms:created>
  <dcterms:modified xsi:type="dcterms:W3CDTF">2025-08-23T19:39:44+02:00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