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przychody ze sprzedaży o 11% w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2013 rok. Skonsolidowany zysk netto wyniósł 15,1 mln zł, przy osiągniętych przychodach ze sprzedaży w wysokości 178,3 mln zł. Wartość sprzedanych przez Grupę mieszkań wzrosła r/r o 42% i wyniosła 182 mln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 2013 roku wypracowała skonsolidowane przychody ze sprzedaży na poziomie 178,3 mln zł, czyli o 10,8% wyższe niż w roku 2012, kiedy uzyskała 160,9 mln zł. Zysk netto w 2013 roku wyniósł 15,1 mln zł i zmniejszył się o 16% w porównaniu do roku 2012. Wpływ na obniżenie rentowności miała sytuacja na rynku deweloperskim i konieczność stosowania różnorodnych promocji. Dodatkowo na ostateczny poziom wyniku netto Grupy miały również wpływ koszty wyposażenia Hotelu Mikołajki Sp. z o.o., które zostały jednorazowo odpisane w koszty uzyskania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jednostkowym przychody ze sprzedaży były o 16% wyższe r/r i wyniosły blisko 185 mln zł. Spółka w 2013 roku wydała więcej lokali niż rok wcześniej (410 sztuk w porównaniu do 344). Wypracowany zysk netto stanowił 8% sprzedaży w porównaniu z 11%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„Miniony rok okazał się dużo lepszy niż początkowo zakładaliśmy, co pozwala nam z nadzieją patrzeć w przyszłość”.</w:t>
      </w:r>
      <w:r>
        <w:rPr>
          <w:rFonts w:ascii="calibri" w:hAnsi="calibri" w:eastAsia="calibri" w:cs="calibri"/>
          <w:sz w:val="24"/>
          <w:szCs w:val="24"/>
        </w:rPr>
        <w:t xml:space="preserve"> – powiedział Piotr Stefaniak, Prezes Spółki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sprzedała łącznie 499 mieszkań i domów brutto (w rozumieniu umów przedwstępnych), w tym INPRO SA - 443 lokale. Jest to o 21% więcej aniżeli w roku poprzednim. Po uwzględnieniu umów rozwiązanych, tzw. sprzedaż netto Grupy wyniosła 419 umów, natomiast sprzedaż netto INPRO wyniosła 373. Wartość sprzedanych przez Grupę mieszkań w 2013 roku to 182 mln zł brutto, wyższa o 54 mln zł (wzrost o 42%) od wartości uzyskanej w roku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2013 roku przekazała 468 lokali wobec 409 rok wcześniej, czyli o 14% więcej. Najlepszym okresem był I i IV kwartał. Grupa wydała wtedy odpowiednio 156 i 175 mieszkań. Istotny wpływ miały cztery inwestycje, które oddano do użytkowania w 2013 roku: trzy budynki osiedla City Park (B, C, D), dwa ostatnie budynki Osiedla Jabłoniowa (I i J), Chmielna Park budynek A oraz otwarcie kompleksu hotelowo-apartamentowego Hotel*****Mikołajki na Wyspie Ptasiej. Jednocześnie w przedmiotowym okresie Grupa INPRO SA wprowadziła do sprzedaży 428 lokali i domów w następujących projektach: Chmielna Park budynek B, City Park budynek E i F, Wróbla Staw domy wielorodzinne etap III, Wróbla Staw domy jednorodzinne etap D, Osiedle Leszczynowe budynek nr 13. Zakończona została także rozbudowa hotelu Dom Zdrojowy**** w Jastarni o 24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2014 roku Grupa planuje uruchomić sprzedaż pierwszych budynków z nowych projektów o bardzo atrakcyjnych lokalizacjach, m.in. w Gdańsku Oliwie przy ul. Grunwaldzkiej (grunt zakupiony w 2013 roku od TVP SA) oraz w Gdańsku Przymorzu, przy ul. Szczecińskiej. Rozpocznie się również budowa następnych etapów już prowadzonych projektów. To powinno pozwolić Grupie Inpro na utrzymanie wysokiego poziomu transakcji sprzedaży w 2014 roku, a w konsekwencji przyczynić się do dalszego, systematycznego wzrostu wartości INPRO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2026-06-03T14:04:38+02:00</dcterms:created>
  <dcterms:modified xsi:type="dcterms:W3CDTF">2026-06-03T14:04:38+02:00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