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Wysmakowane wnętrze handlowe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stuletnia kamienica łączy funkcje mieszkalne i usługowe. Obiekt mieści się w VII dystrykcie Wiednia, przy ulicy Neubaugasse. Co ciekawe, już cesarz Franciszek Józef mawiał, że jest to handlowa ulica specjalistów. Właśnie tu można było nabyć unikalne wyroby austriackiej manufaktury.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we wszystkich kamienicach mieszczących się przy tej ulicy do dzisiaj przetrwały urzekające sklepy i butiki. Rząd austriacki nie otworzył rynku dla hipermarketów, toteż tego typu realizacje nie są rzadkością w tym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Austriacki „sklepikarz” od lokalu handlowego oczekuje przejrzystości oraz dbałości o detale - tutaj sprzedaje się nie tylko produkt, ale również związaną z nim historię. Zaprojektowane przez nas wnętrza cechują się nieskazitelną i wysublimowaną prostotą. W tych przestrzeniach można będzie kupić najbardziej wyszukane i luksusowe przedmioty codziennego użytku, a przy tym obejrzeć i nabyć prace młodych artystów</w:t>
      </w:r>
      <w:r>
        <w:rPr>
          <w:rFonts w:ascii="calibri" w:hAnsi="calibri" w:eastAsia="calibri" w:cs="calibri"/>
          <w:sz w:val="24"/>
          <w:szCs w:val="24"/>
        </w:rPr>
        <w:t xml:space="preserve"> – mówi architekt </w:t>
      </w:r>
      <w:r>
        <w:rPr>
          <w:rFonts w:ascii="calibri" w:hAnsi="calibri" w:eastAsia="calibri" w:cs="calibri"/>
          <w:sz w:val="24"/>
          <w:szCs w:val="24"/>
          <w:b/>
        </w:rPr>
        <w:t xml:space="preserve">Maciej Boltryk</w:t>
      </w:r>
      <w:r>
        <w:rPr>
          <w:rFonts w:ascii="calibri" w:hAnsi="calibri" w:eastAsia="calibri" w:cs="calibri"/>
          <w:sz w:val="24"/>
          <w:szCs w:val="24"/>
        </w:rPr>
        <w:t xml:space="preserve"> reprezentujący firmę </w:t>
      </w:r>
      <w:r>
        <w:rPr>
          <w:rFonts w:ascii="calibri" w:hAnsi="calibri" w:eastAsia="calibri" w:cs="calibri"/>
          <w:sz w:val="24"/>
          <w:szCs w:val="24"/>
          <w:b/>
        </w:rPr>
        <w:t xml:space="preserve">Thurn&amp;Bauer Immobiliengruppe</w:t>
      </w:r>
      <w:r>
        <w:rPr>
          <w:rFonts w:ascii="calibri" w:hAnsi="calibri" w:eastAsia="calibri" w:cs="calibri"/>
          <w:sz w:val="24"/>
          <w:szCs w:val="24"/>
        </w:rPr>
        <w:t xml:space="preserve">, odpowiedzialnej za projekt wnętrza i rewitalizację kamienicy.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wnętrzach handlowych zainstalowano około 110 m kw desek z serii Chapel Minster w kolorze Bleached White z oferty firmy Chapel Parket Polska. Inspiracją do stworzenia tej serii były żywioły i ich wpływ na wygląd drewna.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serii Chapel Minster przywodzą na myśl surowe drewno poddane działaniom naturalnych czynników atmosferycznych, takich jak deszcz, wiatr i promienie słoneczne.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 ten jest uzyskiwany dzięki ręcznej pracy i specjalnym metodom obróbki drewna.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Chapel Parket – podłogi z własną historią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www.chapelparket.pl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www.facebook.com/ChapelParketPolska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produkcji podłóg Chapel Parket stosowany jest olej Floor Service Hardwax Oil, który ma dużą odporność na ścieranie, działanie wody, wina, piwa, coli, kawy, herbaty, soków owocowych i mleka. Substancja jest zgodna z normą DIN 68861 1A. Odporność na działanie śliny i potu jest zgodna z normą DIN 53160. Olej jest ponadto zgodny z europejską normą EN71 dotyczącą zabawek z drewna.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2026-09-26T23:45:24+02:00</dcterms:created>
  <dcterms:modified xsi:type="dcterms:W3CDTF">2026-09-26T23:45:24+02:00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