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Wysmakowane wnętrze handlowe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stuletnia kamienica łączy funkcje mieszkalne i usługowe. Obiekt mieści się w VII dystrykcie Wiednia, przy ulicy Neubaugasse. Co ciekawe, już cesarz Franciszek Józef mawiał, że jest to handlowa ulica specjalistów. Właśnie tu można było nabyć unikalne wyroby austriackiej manufaktury.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Niemal we wszystkich kamienicach mieszczących się przy tej ulicy do dzisiaj przetrwały urzekające sklepy i butiki. Rząd austriacki nie otworzył rynku dla hipermarketów, toteż tego typu realizacje nie są rzadkością w tym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Austriacki „sklepikarz” od lokalu handlowego oczekuje przejrzystości oraz dbałości o detale - tutaj sprzedaje się nie tylko produkt, ale również związaną z nim historię. Zaprojektowane przez nas wnętrza cechują się nieskazitelną i wysublimowaną prostotą. W tych przestrzeniach można będzie kupić najbardziej wyszukane i luksusowe przedmioty codziennego użytku, a przy tym obejrzeć i nabyć prace młodych artystów</w:t>
      </w:r>
      <w:r>
        <w:rPr>
          <w:rFonts w:ascii="calibri" w:hAnsi="calibri" w:eastAsia="calibri" w:cs="calibri"/>
          <w:sz w:val="24"/>
          <w:szCs w:val="24"/>
        </w:rPr>
        <w:t xml:space="preserve"> – mówi architekt </w:t>
      </w:r>
      <w:r>
        <w:rPr>
          <w:rFonts w:ascii="calibri" w:hAnsi="calibri" w:eastAsia="calibri" w:cs="calibri"/>
          <w:sz w:val="24"/>
          <w:szCs w:val="24"/>
          <w:b/>
        </w:rPr>
        <w:t xml:space="preserve">Maciej Boltryk</w:t>
      </w:r>
      <w:r>
        <w:rPr>
          <w:rFonts w:ascii="calibri" w:hAnsi="calibri" w:eastAsia="calibri" w:cs="calibri"/>
          <w:sz w:val="24"/>
          <w:szCs w:val="24"/>
        </w:rPr>
        <w:t xml:space="preserve"> reprezentujący firmę </w:t>
      </w:r>
      <w:r>
        <w:rPr>
          <w:rFonts w:ascii="calibri" w:hAnsi="calibri" w:eastAsia="calibri" w:cs="calibri"/>
          <w:sz w:val="24"/>
          <w:szCs w:val="24"/>
          <w:b/>
        </w:rPr>
        <w:t xml:space="preserve">Thurn&amp;Bauer Immobiliengruppe</w:t>
      </w:r>
      <w:r>
        <w:rPr>
          <w:rFonts w:ascii="calibri" w:hAnsi="calibri" w:eastAsia="calibri" w:cs="calibri"/>
          <w:sz w:val="24"/>
          <w:szCs w:val="24"/>
        </w:rPr>
        <w:t xml:space="preserve">, odpowiedzialnej za projekt wnętrza i rewitalizację kamienicy.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wnętrzach handlowych zainstalowano około 110 m kw desek z serii Chapel Minster w kolorze Bleached White z oferty firmy Chapel Parket Polska. Inspiracją do stworzenia tej serii były żywioły i ich wpływ na wygląd drewna.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Elementy serii Chapel Minster przywodzą na myśl surowe drewno poddane działaniom naturalnych czynników atmosferycznych, takich jak deszcz, wiatr i promienie słoneczne.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 ten jest uzyskiwany dzięki ręcznej pracy i specjalnym metodom obróbki drewna.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Chapel Parket – podłogi z własną historią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www.chapelparket.pl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www.facebook.com/ChapelParketPolska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produkcji podłóg Chapel Parket stosowany jest olej Floor Service Hardwax Oil, który ma dużą odporność na ścieranie, działanie wody, wina, piwa, coli, kawy, herbaty, soków owocowych i mleka. Substancja jest zgodna z normą DIN 68861 1A. Odporność na działanie śliny i potu jest zgodna z normą DIN 53160. Olej jest ponadto zgodny z europejską normą EN71 dotyczącą zabawek z drewna.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2025-04-07T05:49:53+02:00</dcterms:created>
  <dcterms:modified xsi:type="dcterms:W3CDTF">2025-04-07T05:49:53+02:00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