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Udane Święto Niepodległości w H2Ostróg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Zorganizowane 11 listopada zajęcia w aquaparku H2Ostróg cieszyły się sporym zainteresowaniem. Dzieci i dorośli chętnie uczestniczyli w wyścigach na ślizgaczach, zjeżdżalniach i torze przeszkód oraz szkolili techniki pływania pod okiem doświadczonego instruktora.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wtorek, 11 listopada w aquaparku H2Ostróg odbyły się gry i zabawy z okazji Święta Niepodległości. Od godziny 10.00 wszyscy chętni użytkownicy pływalni mogli uczestniczyć w konkursach i zabawach, jakie odbywały się na terenie obiektu. W wyścigach na ślizgaczach, zjeżdżalniach, torze przeszkód wzięło udział ponad 100 osób, w wieku od 2 do 44 lat. Każdy z uczestników otrzymał słodki upominek, a najlepszych nagrodzono firmową koszulką i czapeczką z logiem raciborskiego aquaparku.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wodnych konkursów w południe odbywały się lekcje pływania dla najmłodszych. Podczas godzinnych zajęć z instruktorem dzieci mogły podszkolić techniki pływania. Po zajęciach przygotowano ćwiczenia animacyjne z wykorzystaniem wodnych zabawek, m.in.: makaroników, deseczek czy piłek.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11 listopada możemy uznać za kolejny udany dzień w H2Ostróg. Za każdym razem wodne atrakcje cieszą się sporym zainteresowaniem, co przekonuje nas, aby organizować częściej podobne atrakcje</w:t>
      </w:r>
      <w:r>
        <w:rPr>
          <w:rFonts w:ascii="calibri" w:hAnsi="calibri" w:eastAsia="calibri" w:cs="calibri"/>
          <w:sz w:val="24"/>
          <w:szCs w:val="24"/>
        </w:rPr>
        <w:t xml:space="preserve"> -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Marcin Polowczyk</w:t>
      </w:r>
      <w:r>
        <w:rPr>
          <w:rFonts w:ascii="calibri" w:hAnsi="calibri" w:eastAsia="calibri" w:cs="calibri"/>
          <w:sz w:val="24"/>
          <w:szCs w:val="24"/>
        </w:rPr>
        <w:t xml:space="preserve">, inspektor ds. sportu i organizacji imprez rekreacyjno-sportowych w OSiR Racibórz.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H2Ostróg: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Raciborzu, przy ul. Zamkowej 4. Inwestorem jest Miasto Racibórz. Administratorem obiektu jest Ośrodek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Racibórz to niespełna 60-tysięczne miasto położone w woj. śląskim, tuż przy graniczy z Czechami. Swoje siedziby i zakłady produkcyjne mają tu takie firmy jak: RAFAKO S.A., SGL Carbon Polska, Henkel, Mieszko S.A., Eko-Okna, ENSOL, Sunex S.A. Jest centralnym miastem powiatu raciborskiego, w skład którego wchodzą miasta Kuźnia Raciborska i Krzanowice oraz gminy Pietrowice Wielkie, Kornowac, Rudnik, Nędza i Krzyżanowice.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2026-10-21T02:48:40+02:00</dcterms:created>
  <dcterms:modified xsi:type="dcterms:W3CDTF">2026-10-21T02:48:40+02:00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