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Zmiana w Zarządzie Redan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dniu 18 lipca 2014 roku Radosław Wiśniewski, Prezes Zarządu Redan SA, złożył rezygnację z pełnionego przez siebie stanowiska. Nie będzie to miało wpływu na działania operacyjne Grupy, zaś od strony strategicznej dotychczasowy Prezes gwarantuje dalsze wsparcie.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związku z tym, że proces restrukturyzacji Redan zbliża się do końca, a sytuacja finansowa Grupy jest ustabilizowana oceniłem, że nie jest konieczny mój dalszy bezpośredni udział w zarządzaniu. Dlatego uznałem, że mogę opuścić Zarząd Redanu. Jednocześnie zapewniam, że nie mam zamiaru sprzedawania akcji Spółki. Nadal będę angażował się w zagadnienia strategiczne Grupy Redan, lecz teraz po stronie właścicielskiej.” </w:t>
      </w:r>
      <w:r>
        <w:rPr>
          <w:rFonts w:ascii="calibri" w:hAnsi="calibri" w:eastAsia="calibri" w:cs="calibri"/>
          <w:sz w:val="24"/>
          <w:szCs w:val="24"/>
        </w:rPr>
        <w:t xml:space="preserve">– powiedział Radosław Wiśniewski, były Prezes Zarządu Redan SA i główny akcjonariusz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Zmiana w Zarządzie Redan związana jest z zakończeniem procesu restrukturyzacji finansowej Redan.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strony organizacyjnej Grupa jest zorganizowana tak, że wszystkie operacje i aktywa części dyskontowej wchodzą w skład Adesso SA, zaś w części modowej – w Top Secret Sp. z o.o. oraz w spółkach zagranicznych. We wszystkich tych podmiotach Redan SA posiada 100% udziałów. Każda z tych spółek ma swój niezależny zarząd, który odpowiada za wdrażanie strategii na rynku, na którym działa. Zadaniem Redan SA jest przede wszystkim wyznaczanie celów strategicznych, koordynacja polityki finansowej w ramach Grupy oraz świadczenie scentralizowanych usług back-office.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Rada Nadzorcza Redan SA na najbliższym posiedzeniu planuje powierzenie funkcji Prezesa Zarządu Spółki Boguszowi Kruszyńskiemu, dotychczasowemu Wiceprezesowi Zarządu. Bogusz Kruszyński jest związany z Grupą Redan od 2003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2025-08-21T23:08:16+02:00</dcterms:created>
  <dcterms:modified xsi:type="dcterms:W3CDTF">2025-08-21T23:08:16+02:00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