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w Zarządzie Redan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18 lipca 2014 roku Radosław Wiśniewski, Prezes Zarządu Redan SA, złożył rezygnację z pełnionego przez siebie stanowiska. Nie będzie to miało wpływu na działania operacyjne Grupy, zaś od strony strategicznej dotychczasowy Prezes gwarantuje dalsze wsparcie.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związku z tym, że proces restrukturyzacji Redan zbliża się do końca, a sytuacja finansowa Grupy jest ustabilizowana oceniłem, że nie jest konieczny mój dalszy bezpośredni udział w zarządzaniu. Dlatego uznałem, że mogę opuścić Zarząd Redanu. Jednocześnie zapewniam, że nie mam zamiaru sprzedawania akcji Spółki. Nadal będę angażował się w zagadnienia strategiczne Grupy Redan, lecz teraz po stronie właścicielskiej.” </w:t>
      </w:r>
      <w:r>
        <w:rPr>
          <w:rFonts w:ascii="calibri" w:hAnsi="calibri" w:eastAsia="calibri" w:cs="calibri"/>
          <w:sz w:val="24"/>
          <w:szCs w:val="24"/>
        </w:rPr>
        <w:t xml:space="preserve">– powiedział Radosław Wiśniewski, były Prezes Zarządu Redan SA i główny akcjonariusz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w Zarządzie Redan związana jest z zakończeniem procesu restrukturyzacji finansowej Redan.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strony organizacyjnej Grupa jest zorganizowana tak, że wszystkie operacje i aktywa części dyskontowej wchodzą w skład Adesso SA, zaś w części modowej – w Top Secret Sp. z o.o. oraz w spółkach zagranicznych. We wszystkich tych podmiotach Redan SA posiada 100% udziałów. Każda z tych spółek ma swój niezależny zarząd, który odpowiada za wdrażanie strategii na rynku, na którym działa. Zadaniem Redan SA jest przede wszystkim wyznaczanie celów strategicznych, koordynacja polityki finansowej w ramach Grupy oraz świadczenie scentralizowanych usług back-office.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Nadzorcza Redan SA na najbliższym posiedzeniu planuje powierzenie funkcji Prezesa Zarządu Spółki Boguszowi Kruszyńskiemu, dotychczasowemu Wiceprezesowi Zarządu. Bogusz Kruszyński jest związany z Grupą Redan od 2003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2026-05-01T16:21:31+02:00</dcterms:created>
  <dcterms:modified xsi:type="dcterms:W3CDTF">2026-05-01T16:21:31+02:00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