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zainteresowanie podłogami Chapel Parket podczas Open Day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Frekwencja przerosła nasze oczekiwania, cały dzień wypełniony był bardzo ciekawymi rozmowami z architektami - tak Paweł Bekas z firmy Chapel Parket Polska podsumowuje Open Day z marką Chapel Parket. Wydarzenie miało miejsce 3 lipca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Open Day z marką Chapel Parket był salon sprzedaży firmy Parkett Service mieszczący się w katowickiej galerii Nowy Roździeń. Celem wydarzenia było przedstawienie dębowych podłóg Chapel Parket architektom, projektantom i inwestorom indywidualnym. Spotkanie miało otwarty charakter. Przez cały dzień (w godz. 10:00 -19:00) salon Parkett Service był otwarty dla gości chcących poznać markę lub dowiedzieć się jakie nowości zostały wprowadzone w tym roku do sprzedaży. Formuła wydarzenia okazała się prawdziwym strzałem w dziesiątkę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zwolennikiem Dni Otwartych, podczas których inwestorzy i projektanci mogą porozmawiać z przedstawicielem marki, to niewątpliwie wartość dodana tego typu wydarzeń. Uważam, że Open Day z Chapel Parket było bardzo udane, cieszy nas zwłaszcza duża frekwencja. Z uwagi na sezon urlopowy nie wszyscy zainteresowani mogli wziąć udział w spotkaniu, także mam nadzieję, że niebawem zorganizujemy kolejne wydarzenie z udziałem przedstawicieli firmy Chapel Parket Polska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Pich</w:t>
      </w:r>
      <w:r>
        <w:rPr>
          <w:rFonts w:ascii="calibri" w:hAnsi="calibri" w:eastAsia="calibri" w:cs="calibri"/>
          <w:sz w:val="24"/>
          <w:szCs w:val="24"/>
        </w:rPr>
        <w:t xml:space="preserve"> z firmy </w:t>
      </w:r>
      <w:r>
        <w:rPr>
          <w:rFonts w:ascii="calibri" w:hAnsi="calibri" w:eastAsia="calibri" w:cs="calibri"/>
          <w:sz w:val="24"/>
          <w:szCs w:val="24"/>
          <w:b/>
        </w:rPr>
        <w:t xml:space="preserve">Parkett Service</w:t>
      </w:r>
      <w:r>
        <w:rPr>
          <w:rFonts w:ascii="calibri" w:hAnsi="calibri" w:eastAsia="calibri" w:cs="calibri"/>
          <w:sz w:val="24"/>
          <w:szCs w:val="24"/>
        </w:rPr>
        <w:t xml:space="preserve">, która jest autoryzowanym dystrybutorem podłóg Chapel Parket.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Liczba uczestników Open Day pozytywnie nas zaskoczyła. To kolejny dowód, że podłogi Chapel Parket cieszą się zainteresowaniem wśród architektów i projektantów. Duża frekwencja pokazuje jak ważne są bezpośrednie spotkania, podczas których mamy okazję przedstawić ideę towarzyszącą tworzeniu podłóg Chapel Parket, odpowiedzieć na pytania i wyjaśnić wątpliwości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 Paweł Bekas</w:t>
      </w:r>
      <w:r>
        <w:rPr>
          <w:rFonts w:ascii="calibri" w:hAnsi="calibri" w:eastAsia="calibri" w:cs="calibri"/>
          <w:sz w:val="24"/>
          <w:szCs w:val="24"/>
        </w:rPr>
        <w:t xml:space="preserve">, ekspert firmy </w:t>
      </w:r>
      <w:r>
        <w:rPr>
          <w:rFonts w:ascii="calibri" w:hAnsi="calibri" w:eastAsia="calibri" w:cs="calibri"/>
          <w:sz w:val="24"/>
          <w:szCs w:val="24"/>
          <w:b/>
        </w:rPr>
        <w:t xml:space="preserve">Chapel Parket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Szczególnym zainteresowaniem architektów cieszyły się nasze tegoroczne nowości, między innymi sztorcowe podłogi z kolekcji Chapel Abbey. Nasi goście podkreślali jak uniwersalne są nasze podłogi, zwracali także uwagę, że doskonale komponują się ze śląską architekturą - relacjonuje Paweł Bekas. - Projektanci z uznaniem wypowiadali się również o bezszwowych teksturach podłóg Chapel Parket, które udostępniamy projektantom. Zdjęcia desek, klepek i kasetonów w wysokiej rozdzielczości, które można pobrać bezpośrednio z naszej strony internetowej są bardzo wysoko oceniane</w:t>
      </w:r>
      <w:r>
        <w:rPr>
          <w:rFonts w:ascii="calibri" w:hAnsi="calibri" w:eastAsia="calibri" w:cs="calibri"/>
          <w:sz w:val="24"/>
          <w:szCs w:val="24"/>
        </w:rPr>
        <w:t xml:space="preserve"> – podsumowuje.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Chapel Parket – podłogi z własną historią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www.chapelparket.pl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www.facebook.com/ChapelParketPolska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podłóg Chapel Parket stosowany jest olej Floor Service Hardwax Oil, który ma dużą odporność na ścieranie, działanie wody, wina, piwa, coli, kawy, herbaty, soków owocowych i mleka. Substancja jest zgodna z normą DIN 68861 1A. Odporność na działanie śliny i potu jest zgodna z normą DIN 53160. Olej jest ponadto zgodny z europejską normą EN71 dotyczącą zabawek z drewna.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2026-09-17T20:11:01+02:00</dcterms:created>
  <dcterms:modified xsi:type="dcterms:W3CDTF">2026-09-17T20:11:01+02:00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