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Gotówka na wakacje od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startuje z drugą edycją loterii Gotówka na wakacje. W tegorocznej jej odsłonie do zdobycia jest aż 1 549 nagród o łącznej wartości ponad 150 000 zł. Poza pieniędzmi na upragniony letni odpoczynek, do wygrania są rodzinne gry planszowe. Sprzedaż promocyjna trwa od 1 maja do 31 sierpnia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ponownie rozdaje pieniądze na upragniony letni odpoczynek w gronie najbliższych. Na laureatów promocji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Gotówka na wakacje</w:t>
      </w:r>
      <w:r>
        <w:rPr>
          <w:rFonts w:ascii="calibri" w:hAnsi="calibri" w:eastAsia="calibri" w:cs="calibri"/>
          <w:sz w:val="24"/>
          <w:szCs w:val="24"/>
        </w:rPr>
        <w:t xml:space="preserve"> czeka aż 1 549 nagród o łącznej wartości 150 054 zł, w tym nagroda główna 30 000 zł, osiemnaście cotygodniowych nagród pieniężnych w wysokości 1000 zł i 100 zł oraz rodzinne gry planszowe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Time's Up – Family</w:t>
      </w:r>
      <w:r>
        <w:rPr>
          <w:rFonts w:ascii="calibri" w:hAnsi="calibri" w:eastAsia="calibri" w:cs="calibri"/>
          <w:sz w:val="24"/>
          <w:szCs w:val="24"/>
        </w:rPr>
        <w:t xml:space="preserve">. W każdym tygodniu trwania loterii zostanie wyłonionych osiemdziesięciu sześciu zwycięzców.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wafle i ciastka marki Familijne w opakowaniach z naklejkami promocyjnymi, zawierającymi kod promocyjny. Aby wziąć udział w loterii konsumenci muszą dokonać zakupu minimum jednego produktu promocyjnego oraz zarejestrować kod ukryty w naklejce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www.promocjafamilijne.pl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wysłać pocztą opakowanie z naklejką na adres organizatora. Zgłoszenia przyjmowane są od 1 maja do 1 września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Gotówka na wakacje</w:t>
      </w:r>
      <w:r>
        <w:rPr>
          <w:rFonts w:ascii="calibri" w:hAnsi="calibri" w:eastAsia="calibri" w:cs="calibri"/>
          <w:sz w:val="24"/>
          <w:szCs w:val="24"/>
        </w:rPr>
        <w:t xml:space="preserve"> uzyska silne wsparcie w mediach (telewizja, prasa branżowa, radio, Internet) oraz w postaci materiałów POS (wobblery, plakaty, ulotki, owijki paletowe, standy produktowe i salesprezentery). Za obsługę promocji odpowiada agencja Soho Square Sp. z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14px; height:11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mocjafamilij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2025-12-13T08:18:55+01:00</dcterms:created>
  <dcterms:modified xsi:type="dcterms:W3CDTF">2025-12-13T08:18:55+01:00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