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Rich media po polsku – czyli jak Sparc Media zachęcało warszawiaków do płatności mobilnych w taksówkach</w:t>
      </w:r>
    </w:p>
    <w:p>
      <w:pPr>
        <w:spacing w:before="0" w:after="500" w:line="264" w:lineRule="auto"/>
      </w:pPr>
      <w:r>
        <w:rPr>
          <w:rFonts w:ascii="calibri" w:hAnsi="calibri" w:eastAsia="calibri" w:cs="calibri"/>
          <w:sz w:val="36"/>
          <w:szCs w:val="36"/>
          <w:b/>
        </w:rPr>
        <w:t xml:space="preserve">Specjaliści ze Sparc Media znaleźli sposób jak przekonać Warszawiaków do płatności mobilnych w taksówkach. W nieco ponad dwa tygodnie zachęcili ponad 4 tys. mieszkańców stolicy do wykorzystania bezpłatnych kuponów na przejazd taksówką używając do tego celu kampanii rich mediowej. Udowodnili tym samym, że ta nowoczesna metoda komunikacji sprawdza się świetnie nie tylko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angażującej kampanii to nie łatwe zadanie niezależnie czy przeprowadzamy ją w online czy mobile. Natężenie komunikatów reklamowych w sieci powoduje, że użytkownicy przestają je dostrzegać i powszechnie zapadają na tzw. ślepotę bannerową. Specjaliści ze Sparc Media znaleźli na to sposób przygotowując wspólną kampanie rich mediową na Facebooku dla aplikacji mobilnej mytaxi i systemu płatności PayPal.</w:t>
      </w:r>
    </w:p>
    <w:p>
      <w:pPr>
        <w:spacing w:before="0" w:after="300"/>
      </w:pPr>
      <w:r>
        <w:rPr>
          <w:rFonts w:ascii="calibri" w:hAnsi="calibri" w:eastAsia="calibri" w:cs="calibri"/>
          <w:sz w:val="24"/>
          <w:szCs w:val="24"/>
          <w:i/>
          <w:iCs/>
        </w:rPr>
        <w:t xml:space="preserve">Zależało nam na tym aby kampania przyciągała uwagę̨ zarówno ze względu na mytaxi jak i PayPal. Chcieliśmy przekonać́ potencjalnych użytkowników, jak cenne udogodnienie wprowadziliśmy zachęcając ich do wypróbowania usługi i oferując 30zł w prezencie. Dzięki zaangażowaniu i profesjonalnej obsłudze kampanii przez Sparc Media udało się nam osiągnąć́ efekty powyżej naszych oczekiwań́. Stworzona kreacja była angażująca, a dzięki precyzyjnemu i na bieżąco optymalizowanemu targetowaniu kampania zrealizowała cel</w:t>
      </w:r>
      <w:r>
        <w:rPr>
          <w:rFonts w:ascii="calibri" w:hAnsi="calibri" w:eastAsia="calibri" w:cs="calibri"/>
          <w:sz w:val="24"/>
          <w:szCs w:val="24"/>
        </w:rPr>
        <w:t xml:space="preserve"> - mówi </w:t>
      </w:r>
      <w:r>
        <w:rPr>
          <w:rFonts w:ascii="calibri" w:hAnsi="calibri" w:eastAsia="calibri" w:cs="calibri"/>
          <w:sz w:val="24"/>
          <w:szCs w:val="24"/>
          <w:b/>
        </w:rPr>
        <w:t xml:space="preserve">Krzysztof Chojnacki</w:t>
      </w:r>
      <w:r>
        <w:rPr>
          <w:rFonts w:ascii="calibri" w:hAnsi="calibri" w:eastAsia="calibri" w:cs="calibri"/>
          <w:sz w:val="24"/>
          <w:szCs w:val="24"/>
        </w:rPr>
        <w:t xml:space="preserve">, Marketing Manager mytaxi.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Przeprowadzonej w kwietniu b.r. kampanii na Facebooku towarzyszył atrakcyjny format wizualny i proste, składające się z trzech kroków, objaśnienie dla internauty jak wykorzystać okazję. Dzięki unikalnej kreacji oraz optymalizowanej kampanii targetowanej,</w:t>
      </w:r>
      <w:r>
        <w:rPr>
          <w:rFonts w:ascii="calibri" w:hAnsi="calibri" w:eastAsia="calibri" w:cs="calibri"/>
          <w:sz w:val="24"/>
          <w:szCs w:val="24"/>
          <w:b/>
        </w:rPr>
        <w:t xml:space="preserve"> akcja zaangażowała ponad 4 tys. fanów z czego 95% kliknęło, aby dowiedzieć się więcej.</w:t>
      </w:r>
    </w:p>
    <w:p>
      <w:pPr>
        <w:spacing w:before="0" w:after="300"/>
      </w:pPr>
      <w:r>
        <w:rPr>
          <w:rFonts w:ascii="calibri" w:hAnsi="calibri" w:eastAsia="calibri" w:cs="calibri"/>
          <w:sz w:val="24"/>
          <w:szCs w:val="24"/>
        </w:rPr>
        <w:t xml:space="preserve">Głównym celem kampanii było poinformowanie użytkowników aplikacji</w:t>
      </w:r>
      <w:r>
        <w:rPr>
          <w:rFonts w:ascii="calibri" w:hAnsi="calibri" w:eastAsia="calibri" w:cs="calibri"/>
          <w:sz w:val="24"/>
          <w:szCs w:val="24"/>
          <w:b/>
        </w:rPr>
        <w:t xml:space="preserve">mytaxi</w:t>
      </w:r>
      <w:r>
        <w:rPr>
          <w:rFonts w:ascii="calibri" w:hAnsi="calibri" w:eastAsia="calibri" w:cs="calibri"/>
          <w:sz w:val="24"/>
          <w:szCs w:val="24"/>
        </w:rPr>
        <w:t xml:space="preserve"> o wprowadzeniu możliwości dokonywania płatności za przejazd taksówką metodą </w:t>
      </w:r>
      <w:r>
        <w:rPr>
          <w:rFonts w:ascii="calibri" w:hAnsi="calibri" w:eastAsia="calibri" w:cs="calibri"/>
          <w:sz w:val="24"/>
          <w:szCs w:val="24"/>
          <w:b/>
        </w:rPr>
        <w:t xml:space="preserve">PayPal</w:t>
      </w:r>
      <w:r>
        <w:rPr>
          <w:rFonts w:ascii="calibri" w:hAnsi="calibri" w:eastAsia="calibri" w:cs="calibri"/>
          <w:sz w:val="24"/>
          <w:szCs w:val="24"/>
        </w:rPr>
        <w:t xml:space="preserve">. Dodatkowo promowano samą aplikację i zachęcano użytkowników do rejestracji w systemie PayPal, oferując </w:t>
      </w:r>
      <w:r>
        <w:rPr>
          <w:rFonts w:ascii="calibri" w:hAnsi="calibri" w:eastAsia="calibri" w:cs="calibri"/>
          <w:sz w:val="24"/>
          <w:szCs w:val="24"/>
          <w:b/>
        </w:rPr>
        <w:t xml:space="preserve">kod na przejazd taksówką o wartości 30zł. </w:t>
      </w:r>
    </w:p>
    <w:p>
      <w:pPr>
        <w:spacing w:before="0" w:after="300"/>
      </w:pPr>
      <w:r>
        <w:rPr>
          <w:rFonts w:ascii="calibri" w:hAnsi="calibri" w:eastAsia="calibri" w:cs="calibri"/>
          <w:sz w:val="24"/>
          <w:szCs w:val="24"/>
        </w:rPr>
        <w:t xml:space="preserve">W ciągu zaledwie </w:t>
      </w:r>
      <w:r>
        <w:rPr>
          <w:rFonts w:ascii="calibri" w:hAnsi="calibri" w:eastAsia="calibri" w:cs="calibri"/>
          <w:sz w:val="24"/>
          <w:szCs w:val="24"/>
          <w:b/>
        </w:rPr>
        <w:t xml:space="preserve">18 dni emisji</w:t>
      </w:r>
      <w:r>
        <w:rPr>
          <w:rFonts w:ascii="calibri" w:hAnsi="calibri" w:eastAsia="calibri" w:cs="calibri"/>
          <w:sz w:val="24"/>
          <w:szCs w:val="24"/>
        </w:rPr>
        <w:t xml:space="preserve"> udało się dotrzeć aż do</w:t>
      </w:r>
      <w:r>
        <w:rPr>
          <w:rFonts w:ascii="calibri" w:hAnsi="calibri" w:eastAsia="calibri" w:cs="calibri"/>
          <w:sz w:val="24"/>
          <w:szCs w:val="24"/>
          <w:b/>
        </w:rPr>
        <w:t xml:space="preserve">38% osób z grupy docelowej</w:t>
      </w:r>
      <w:r>
        <w:rPr>
          <w:rFonts w:ascii="calibri" w:hAnsi="calibri" w:eastAsia="calibri" w:cs="calibri"/>
          <w:sz w:val="24"/>
          <w:szCs w:val="24"/>
        </w:rPr>
        <w:t xml:space="preserve"> liczącej 744 tys. użytkowników. Kampania rozliczana była metodą CPE - czyli płatność́ za zaangażowanie a nie za wyświetlenie.Zrealizowane </w:t>
      </w:r>
      <w:r>
        <w:rPr>
          <w:rFonts w:ascii="calibri" w:hAnsi="calibri" w:eastAsia="calibri" w:cs="calibri"/>
          <w:sz w:val="24"/>
          <w:szCs w:val="24"/>
          <w:b/>
        </w:rPr>
        <w:t xml:space="preserve">zaangażowanie objęło 4 116 fanów</w:t>
      </w:r>
      <w:r>
        <w:rPr>
          <w:rFonts w:ascii="calibri" w:hAnsi="calibri" w:eastAsia="calibri" w:cs="calibri"/>
          <w:sz w:val="24"/>
          <w:szCs w:val="24"/>
        </w:rPr>
        <w:t xml:space="preserve">, o prawie 3% więcej niż początkowo zakładano. 3 791 użytkowników kliknęło w kreację, aby dowiedzieć się więcej o usłudze lub pobrać promocyjny kupon. W wyniku kampanii profil aplikacji mytaxi na Facebooku polubiło 325 użytkowników. Średnia </w:t>
      </w:r>
      <w:r>
        <w:rPr>
          <w:rFonts w:ascii="calibri" w:hAnsi="calibri" w:eastAsia="calibri" w:cs="calibri"/>
          <w:sz w:val="24"/>
          <w:szCs w:val="24"/>
          <w:b/>
        </w:rPr>
        <w:t xml:space="preserve">konwersja</w:t>
      </w:r>
      <w:r>
        <w:rPr>
          <w:rFonts w:ascii="calibri" w:hAnsi="calibri" w:eastAsia="calibri" w:cs="calibri"/>
          <w:sz w:val="24"/>
          <w:szCs w:val="24"/>
        </w:rPr>
        <w:t xml:space="preserve"> </w:t>
      </w:r>
      <w:r>
        <w:rPr>
          <w:rFonts w:ascii="calibri" w:hAnsi="calibri" w:eastAsia="calibri" w:cs="calibri"/>
          <w:sz w:val="24"/>
          <w:szCs w:val="24"/>
          <w:b/>
        </w:rPr>
        <w:t xml:space="preserve">wyniosła 7,94%,</w:t>
      </w:r>
      <w:r>
        <w:rPr>
          <w:rFonts w:ascii="calibri" w:hAnsi="calibri" w:eastAsia="calibri" w:cs="calibri"/>
          <w:sz w:val="24"/>
          <w:szCs w:val="24"/>
        </w:rPr>
        <w:t xml:space="preserve"> z czego wśród użytkowników iOS wyniosła ona aż 11,76%</w:t>
      </w:r>
      <w:r>
        <w:rPr>
          <w:rFonts w:ascii="calibri" w:hAnsi="calibri" w:eastAsia="calibri" w:cs="calibri"/>
          <w:sz w:val="24"/>
          <w:szCs w:val="24"/>
          <w:b/>
        </w:rPr>
        <w:t xml:space="preserve">. Odbiorcy kampanii poświęcili jej średnio 31s</w:t>
      </w:r>
      <w:r>
        <w:rPr>
          <w:rFonts w:ascii="calibri" w:hAnsi="calibri" w:eastAsia="calibri" w:cs="calibri"/>
          <w:sz w:val="24"/>
          <w:szCs w:val="24"/>
        </w:rPr>
        <w:t xml:space="preserve">, czyli o około 3 sekundy więcej niż wynosi średnia dla tego typu kreacji.</w:t>
      </w:r>
    </w:p>
    <w:p>
      <w:pPr>
        <w:spacing w:before="0" w:after="300"/>
      </w:pPr>
      <w:r>
        <w:rPr>
          <w:rFonts w:ascii="calibri" w:hAnsi="calibri" w:eastAsia="calibri" w:cs="calibri"/>
          <w:sz w:val="24"/>
          <w:szCs w:val="24"/>
          <w:b/>
        </w:rPr>
        <w:t xml:space="preserve">Rich Media w pigułce:</w:t>
      </w:r>
    </w:p>
    <w:p>
      <w:pPr>
        <w:spacing w:before="0" w:after="300"/>
      </w:pPr>
      <w:r>
        <w:rPr>
          <w:rFonts w:ascii="calibri" w:hAnsi="calibri" w:eastAsia="calibri" w:cs="calibri"/>
          <w:sz w:val="24"/>
          <w:szCs w:val="24"/>
        </w:rPr>
        <w:t xml:space="preserve">Celem Rich Media jest wywołanie, poprzez różnorodne, multimedialne treści określonej reakcji użytkownika a nie tylko wyświetlenie statycznego przekazu. W ten sposób kampania skłania użytkowników do wejścia w świat marki. Format ten jest z dużym powodzeniem wdrażany na całym świecie i cieszy się coraz większą popularnością także w Polsce. Jak wynika z badań ośrodka Gemius w naszym kraju formaty rich mediowe są najpopularniejsze w całej Europie Środkowo-Wschodniej sukcesywnie wypierając statyczne kampanie bannerowe.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2025-12-08T03:21:56+01:00</dcterms:created>
  <dcterms:modified xsi:type="dcterms:W3CDTF">2025-12-08T03:21:56+01:00</dcterms:modified>
</cp:coreProperties>
</file>

<file path=docProps/custom.xml><?xml version="1.0" encoding="utf-8"?>
<Properties xmlns="http://schemas.openxmlformats.org/officeDocument/2006/custom-properties" xmlns:vt="http://schemas.openxmlformats.org/officeDocument/2006/docPropsVTypes"/>
</file>