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GG 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</w:t>
      </w:r>
      <w:r>
        <w:rPr>
          <w:rFonts w:ascii="calibri" w:hAnsi="calibri" w:eastAsia="calibri" w:cs="calibri"/>
          <w:sz w:val="24"/>
          <w:szCs w:val="24"/>
          <w:b/>
        </w:rPr>
        <w:t xml:space="preserve">GG:10994</w:t>
      </w:r>
      <w:r>
        <w:rPr>
          <w:rFonts w:ascii="calibri" w:hAnsi="calibri" w:eastAsia="calibri" w:cs="calibri"/>
          <w:sz w:val="24"/>
          <w:szCs w:val="24"/>
        </w:rPr>
        <w:t xml:space="preserve"> nawiązuje do telefonicznego numeru Pogotowia Wodociągowego, czyli 994.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2026-01-21T01:00:30+01:00</dcterms:created>
  <dcterms:modified xsi:type="dcterms:W3CDTF">2026-01-21T01:00:30+01:00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