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saloniki Kolportera otwarte w maju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Salon Top-Press, mieszczący się w Centrum Pogodne w Oleśnicy, to jeden z dziewięciu nowych punktów handlowych Kolportera otwartych w maju br. Aktualnie firma dysponuje 809 salonikami prasowymi i 176 Top-Pressami.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kilku miesięcy Kolporter kontynuuje rozwój swoich sieci, polegający na lokalizacji punktów handlowych w nowoczesnych i atrakcyjnych handlowo miejscach. Już ponad połowa saloników prasowych i Top-Pressów znajduje się w galeriach i centrach handlowych, super- i hipermarketach oraz dyskontach.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maju br. nowe Top-Pressy, oprócz punktu w Oleśnicy, ruszyły także w Kutnie (Galeria Marcredo) i Ostrołęce (Galeria Bursztynowa). Natomiast nowe saloniki prasowe otwarto w Kraśniku (Biedronka), Siedlcach (Carrefour), Szczecinie (ul. Wojska Polskiego 39), Świebodzinie (ul. Łużycka 13), Łukowie (ul. Kwiatkowskiego 3) oraz w Turce (Biedronka).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i jednym z największych dystrybutorów towarów FMCG w naszym kraju.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saloników prasowych i salonów Top-Press, a także sieci franczyzowej Traf 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2025-08-16T03:37:58+02:00</dcterms:created>
  <dcterms:modified xsi:type="dcterms:W3CDTF">2025-08-16T03:37:58+02:00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