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550 procentowy wzrost wyniku brutto Pragma Inkaso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opublikowanych szacunkowych skonsolidowanych danych, GK Pragma Inkaso wypracowała wynik brutto na poziomie 1,8 mln zł. Prezentowane dane oznaczają skokowy wzrost w stosunku do I kwartału 2013 r. sięgający 550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tymi samymi danymi </w:t>
      </w:r>
      <w:r>
        <w:rPr>
          <w:rFonts w:ascii="calibri" w:hAnsi="calibri" w:eastAsia="calibri" w:cs="calibri"/>
          <w:sz w:val="24"/>
          <w:szCs w:val="24"/>
          <w:b/>
        </w:rPr>
        <w:t xml:space="preserve">wynik na sprzedaży Grupy w I kwartale br. osiągnął wartość blisko 3,6 mln zł., był tym samym wyższy o 68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analogicznego okresu ubiegłego roku. Skonsolidowane przychody netto sięgające 8,9 mln zł. wzrosły o 30 proc. r/r. W raportowanym okresie o 28 proc. wzrósł także wynik netto przypadający na akcjonariuszy 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wyniósł 1 345 tys. zł. Zysk netto zwiększył się o 10 proc. r/r.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SZACUNKOWE SKONSOLIDOWANE WYBRANE DANE FINANSOWE ZA I KWARTAŁ 2014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GK PRAGMA INKASO S.A. (w tyś. zł)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Q 2013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r/r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97 977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86 704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113%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Przychody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8 862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6 887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129%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na sprzedaży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3 638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2 171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1 807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650%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netto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1 583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1 435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110%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 netto przypadający na akcjonariuszy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Inkaso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1 345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1 051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128%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znaczącą poprawę wyników miały wpływ intensywnie wdrażane w ubiegłym roku zmiany struktury i modelu biznesowego Grupy. Posiadając duży potencjał operacyjny możemy jako Grupa znacząco zwiększać skalę działania nie ponosząc jednocześnie wyższych kosztów operacyjnych. Liczę, że przychody i wyniki Grupy będą systematycznie wzrastać w kolejnych kwartałach - </w:t>
      </w:r>
      <w:r>
        <w:rPr>
          <w:rFonts w:ascii="calibri" w:hAnsi="calibri" w:eastAsia="calibri" w:cs="calibri"/>
          <w:sz w:val="24"/>
          <w:szCs w:val="24"/>
        </w:rPr>
        <w:t xml:space="preserve">mówi Tomasz Boduszek, Prezes Pragma Inkaso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2026-06-20T03:53:36+02:00</dcterms:created>
  <dcterms:modified xsi:type="dcterms:W3CDTF">2026-06-20T03:53:36+02:00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