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550 procentowy wzrost wyniku brutto Pragma Inkaso S.A.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Według opublikowanych szacunkowych skonsolidowanych danych, GK Pragma Inkaso wypracowała wynik brutto na poziomie 1,8 mln zł. Prezentowane dane oznaczają skokowy wzrost w stosunku do I kwartału 2013 r. sięgający 550 proc.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tymi samymi danymi </w:t>
      </w:r>
      <w:r>
        <w:rPr>
          <w:rFonts w:ascii="calibri" w:hAnsi="calibri" w:eastAsia="calibri" w:cs="calibri"/>
          <w:sz w:val="24"/>
          <w:szCs w:val="24"/>
          <w:b/>
        </w:rPr>
        <w:t xml:space="preserve">wynik na sprzedaży Grupy w I kwartale br. osiągnął wartość blisko 3,6 mln zł., był tym samym wyższy o 68 proc.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stosunku do analogicznego okresu ubiegłego roku. Skonsolidowane przychody netto sięgające 8,9 mln zł. wzrosły o 30 proc. r/r. W raportowanym okresie o 28 proc. wzrósł także wynik netto przypadający na akcjonariuszy Pragma Inkaso S.A.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wyniósł 1 345 tys. zł. Zysk netto zwiększył się o 10 proc. r/r.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SZACUNKOWE SKONSOLIDOWANE WYBRANE DANE FINANSOWE ZA I KWARTAŁ 2014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GK PRAGMA INKASO S.A. (w tyś. zł)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 Q 2014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 Q 2013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r/r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Przychody brutto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97 977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86 704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113%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Przychody netto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8 862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6 887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129%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Wynik na sprzedaży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3 638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2 171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168%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Wynik brutto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1 807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278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650%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Wynik netto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1 583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1 435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110%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 netto przypadający na akcjonariuszy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Pragma Inkaso S.A.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1 345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1 051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128%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 znaczącą poprawę wyników miały wpływ intensywnie wdrażane w ubiegłym roku zmiany struktury i modelu biznesowego Grupy. Posiadając duży potencjał operacyjny możemy jako Grupa znacząco zwiększać skalę działania nie ponosząc jednocześnie wyższych kosztów operacyjnych. Liczę, że przychody i wyniki Grupy będą systematycznie wzrastać w kolejnych kwartałach - </w:t>
      </w:r>
      <w:r>
        <w:rPr>
          <w:rFonts w:ascii="calibri" w:hAnsi="calibri" w:eastAsia="calibri" w:cs="calibri"/>
          <w:sz w:val="24"/>
          <w:szCs w:val="24"/>
        </w:rPr>
        <w:t xml:space="preserve">mówi Tomasz Boduszek, Prezes Pragma Inkaso SA.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2026-10-20T20:19:25+02:00</dcterms:created>
  <dcterms:modified xsi:type="dcterms:W3CDTF">2026-10-20T20:19:25+02:00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