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Szkody w lasach po huraganowych wiatrach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Leśnicy z terenu szczecińskiej dyrekcji Lasów Państwowych zakończyli wstępną inwentaryzację szkód wyrządzonych przez huraganowe wiatry, które przeszły przez tamtejsze lasy na początku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Gwałtowne wiatry wystąpiły w centralnej i południowo-wschodniej części Regionalnej Dyrekcji Lasów Państwowych w Szczecinie, wyrządziły duże szkody w drzewostanach i w infrastrukturze leśnej. Straty w drzewostanach spowodowane wiatrami to około </w:t>
      </w:r>
      <w:r>
        <w:rPr>
          <w:rFonts w:ascii="calibri" w:hAnsi="calibri" w:eastAsia="calibri" w:cs="calibri"/>
          <w:sz w:val="24"/>
          <w:szCs w:val="24"/>
          <w:b/>
        </w:rPr>
        <w:t xml:space="preserve">150 tys. m3 wywrotów i złomów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przy czym szkody powierzchniowe odnotowano na powierzchni około 10 tys. ha, w tym kwalifikujących się do usunięcia zrębami zupełnymi na powierzchni ok. 150 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silnych wiatrów została również zniszczona infrastruktura leśna (głównie ogrodzenia upraw leśnych) oraz budynki. Największe uszkodzenia wystąpiły w nadleśnictwach: Bierzwnik (ok. 39 tys. m3), Karwin (ok. 25 tys. m3), Skwierzyna (ok. 28 tys. m3) i Strzelce Krajeńskie (ok. 50 tys. m3).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obszarach objętych klęską wiatrołomów występuje duże zagrożenie dla ludzi, dlatego na najbardziej zagrożonych obszarach nadleśnictwa</w:t>
      </w:r>
      <w:r>
        <w:rPr>
          <w:rFonts w:ascii="calibri" w:hAnsi="calibri" w:eastAsia="calibri" w:cs="calibri"/>
          <w:sz w:val="24"/>
          <w:szCs w:val="24"/>
          <w:b/>
        </w:rPr>
        <w:t xml:space="preserve">: Skwierzyna, Strzelce Krajeńskie, Karwin wprowadziły zakaz wstępu do lasu.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lasy.gov.pl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2024-04-17T04:19:19+02:00</dcterms:created>
  <dcterms:modified xsi:type="dcterms:W3CDTF">2024-04-17T04:19:19+02:00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