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Wiedeński kontrakt APS 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spółka Automatyka Pomiary Sterowanie SA będzie współpracowała z koncernem STRABAG ENERGY TECHNOLOGIES GmbH z Wiednia przy budowie instalacji katalitycznej redukcji tlenków azotu w Elektrociepłowni Białystok.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druga istotna umowa zawarta w tym roku przez APS SA, a jej wartość szacowana jest na około 4 mln zł. W ramach proekologicznej inwestycji realizowanej dla ECB przez konsorcjum Strabag sp. z o.o. i Strabag Energy Technologies, białostocka firma wykona zadanie: budowa układów elektrycznych i automatyki instalacji katalitycznej redukcji tlenków azotu dla kotłów K7 i K8.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Dobra sława o jakości naszych prac dotarła do Strabag Energy Technologies GmbH w Wiedniu - partnera konsorcjum, któremu w ramach przetargu sektorowego Elektrociepłownia Białystok S.A. powierzyła wykonanie instalacji katalitycznej redukcji tlenków azotu – mówi Bogusław Łącki, prezes APS SA. - Ale referencje to tylko dobry początek – ten kontrakt pozyskaliśmy w wyniku długotrwałych negocjacji, w końcowej fazie toczonych w Wiedniu. Nasz zleceniodawca jest właścicielem technologii instalacji redukcji tlenków azotu i zastrzegł w umowie zakaz przekazywania informacji na jej temat. Przedmiotem kontraktu są prace, w których APS SA się specjalizuje, tj. układy automatyki, elektryki, systemy sterowania i nadzoru. Mamy nadzieję, że dobrze wykonane dzieło pozwoli na dalszą współpracę z tym zleceniodawcą na innych obiektach energetycznych.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wykonanie zadania APS SA ma rok. Zdaniem zarządu spółki jest to znacząca dla firmy umowa, realizowana dla wymagającego klienta, obejmująca pełne spektrum działalności gospodarczej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Dobrą sławę APS SA potwierdzają wyniki niezależnych rankingów – spółka znalazła się w gronie Efektywnych Firm 2013 w konkursie, zorganizowanym przez redakcję Magazynu Przedsiębiorców „Europejska Firma. Tytuł uzyskały te firmy, których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efektywność w latach 2011-2012 wyniosła więcej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niż 5 proc.,</w:t>
      </w:r>
      <w:r>
        <w:rPr>
          <w:rFonts w:ascii="calibri" w:hAnsi="calibri" w:eastAsia="calibri" w:cs="calibri"/>
          <w:sz w:val="24"/>
          <w:szCs w:val="24"/>
        </w:rPr>
        <w:t xml:space="preserve"> i które w latach 2011 -2012 miały każdego roku przynajmniej pół miliona zł przychodów, wykazywały zysk netto, a wartość ich kapitału była dodatnia. APS SA ze średnią efektywnością 6,6 proc. znalazła się w gronie laureatów konkursu. Wcześniej zyskała też tytuł Geparda Biznesu 2013, w konkursie tej samej redakcji, promującym najbardziej dynamiczne firmy.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2024-05-03T10:58:38+02:00</dcterms:created>
  <dcterms:modified xsi:type="dcterms:W3CDTF">2024-05-03T10:58:38+02:00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