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zwiększyła przychody ze sprzedaży o 11% w 2013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Inpro, jeden z czołowych trójmiejskich deweloperów notowany na GPW w Warszawie, podsumowała wyniki za 2013 rok. Skonsolidowany zysk netto wyniósł 15,1 mln zł, przy osiągniętych przychodach ze sprzedaży w wysokości 178,3 mln zł. Wartość sprzedanych przez Grupę mieszkań wzrosła r/r o 42% i wyniosła 182 mln zł brutto.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w 2013 roku wypracowała skonsolidowane przychody ze sprzedaży na poziomie 178,3 mln zł, czyli o 10,8% wyższe niż w roku 2012, kiedy uzyskała 160,9 mln zł. Zysk netto w 2013 roku wyniósł 15,1 mln zł i zmniejszył się o 16% w porównaniu do roku 2012. Wpływ na obniżenie rentowności miała sytuacja na rynku deweloperskim i konieczność stosowania różnorodnych promocji. Dodatkowo na ostateczny poziom wyniku netto Grupy miały również wpływ koszty wyposażenia Hotelu Mikołajki Sp. z o.o., które zostały jednorazowo odpisane w koszty uzyskania przychodu.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poziomie jednostkowym przychody ze sprzedaży były o 16% wyższe r/r i wyniosły blisko 185 mln zł. Spółka w 2013 roku wydała więcej lokali niż rok wcześniej (410 sztuk w porównaniu do 344). Wypracowany zysk netto stanowił 8% sprzedaży w porównaniu z 11% w roku poprzednim.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„Miniony rok okazał się dużo lepszy niż początkowo zakładaliśmy, co pozwala nam z nadzieją patrzeć w przyszłość”.</w:t>
      </w:r>
      <w:r>
        <w:rPr>
          <w:rFonts w:ascii="calibri" w:hAnsi="calibri" w:eastAsia="calibri" w:cs="calibri"/>
          <w:sz w:val="24"/>
          <w:szCs w:val="24"/>
        </w:rPr>
        <w:t xml:space="preserve"> – powiedział Piotr Stefaniak, Prezes Spółki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sprzedała łącznie 499 mieszkań i domów brutto (w rozumieniu umów przedwstępnych), w tym INPRO SA - 443 lokale. Jest to o 21% więcej aniżeli w roku poprzednim. Po uwzględnieniu umów rozwiązanych, tzw. sprzedaż netto Grupy wyniosła 419 umów, natomiast sprzedaż netto INPRO wyniosła 373. Wartość sprzedanych przez Grupę mieszkań w 2013 roku to 182 mln zł brutto, wyższa o 54 mln zł (wzrost o 42%) od wartości uzyskanej w roku 2012.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2013 roku przekazała 468 lokali wobec 409 rok wcześniej, czyli o 14% więcej. Najlepszym okresem był I i IV kwartał. Grupa wydała wtedy odpowiednio 156 i 175 mieszkań. Istotny wpływ miały cztery inwestycje, które oddano do użytkowania w 2013 roku: trzy budynki osiedla City Park (B, C, D), dwa ostatnie budynki Osiedla Jabłoniowa (I i J), Chmielna Park budynek A oraz otwarcie kompleksu hotelowo-apartamentowego Hotel*****Mikołajki na Wyspie Ptasiej. Jednocześnie w przedmiotowym okresie Grupa INPRO SA wprowadziła do sprzedaży 428 lokali i domów w następujących projektach: Chmielna Park budynek B, City Park budynek E i F, Wróbla Staw domy wielorodzinne etap III, Wróbla Staw domy jednorodzinne etap D, Osiedle Leszczynowe budynek nr 13. Zakończona została także rozbudowa hotelu Dom Zdrojowy**** w Jastarni o 24 pokoje.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2014 roku Grupa planuje uruchomić sprzedaż pierwszych budynków z nowych projektów o bardzo atrakcyjnych lokalizacjach, m.in. w Gdańsku Oliwie przy ul. Grunwaldzkiej (grunt zakupiony w 2013 roku od TVP SA) oraz w Gdańsku Przymorzu, przy ul. Szczecińskiej. Rozpocznie się również budowa następnych etapów już prowadzonych projektów. To powinno pozwolić Grupie Inpro na utrzymanie wysokiego poziomu transakcji sprzedaży w 2014 roku, a w konsekwencji przyczynić się do dalszego, systematycznego wzrostu wartości INPRO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2024-05-07T15:09:09+02:00</dcterms:created>
  <dcterms:modified xsi:type="dcterms:W3CDTF">2024-05-07T15:09:09+02:00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