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Prologis to Develop Third Build-to-Suit Facility at Wroclaw V</w:t>
      </w:r>
    </w:p>
    <w:p>
      <w:pPr>
        <w:spacing w:before="0" w:after="500" w:line="264" w:lineRule="auto"/>
      </w:pPr>
      <w:r>
        <w:rPr>
          <w:rFonts w:ascii="calibri" w:hAnsi="calibri" w:eastAsia="calibri" w:cs="calibri"/>
          <w:sz w:val="36"/>
          <w:szCs w:val="36"/>
          <w:b/>
        </w:rPr>
        <w:t xml:space="preserve">Prologis, Inc., the leading global owner, operator and developer of industrial real estate, today announced that in the first quarter of 2013, it signed an agreement to develop an 18,300 square metre Build-to-Suit (BTS) facility for Tradis, part of the Eurocash Group, at Prologis Park Wroclaw V. It is the third BTS facility to be developed at the park in less than 24 months.</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800px; height:56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Ewa Zawadzka, business development director, Prologis Poland, said:</w:t>
      </w:r>
      <w:r>
        <w:rPr>
          <w:rFonts w:ascii="calibri" w:hAnsi="calibri" w:eastAsia="calibri" w:cs="calibri"/>
          <w:sz w:val="24"/>
          <w:szCs w:val="24"/>
          <w:b/>
        </w:rPr>
        <w:t xml:space="preserve"> </w:t>
      </w:r>
      <w:r>
        <w:rPr>
          <w:rFonts w:ascii="calibri" w:hAnsi="calibri" w:eastAsia="calibri" w:cs="calibri"/>
          <w:sz w:val="24"/>
          <w:szCs w:val="24"/>
        </w:rPr>
        <w:t xml:space="preserve">“We are delighted that Tradis has chosen to partner with Prologis to develop its new facility. They are a very important customer and we look forward to strengthening our relationship.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“As the third BTS in less than two years, the transaction further highlights the strategic importance of Prologis Park Wroclaw V as a key logistics location, while sending a positive signal to the wider Polish market.”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 the first quarter of 2012, Prologis delivered a 19,100 square metre BTS facility to UPM Raflatac, a leading provider of self-adhesive label materials. More recently in the fourth quarter of 2012, it signed an agreement to construct a 17,800 sqm BTS facility for a leading wholesale and retail supplier of white goods and electronic equipment.</w:t>
      </w:r>
    </w:p>
    <w:p>
      <w:pPr>
        <w:spacing w:before="0" w:after="300"/>
      </w:pPr>
      <w:r>
        <w:rPr>
          <w:rFonts w:ascii="calibri" w:hAnsi="calibri" w:eastAsia="calibri" w:cs="calibri"/>
          <w:sz w:val="24"/>
          <w:szCs w:val="24"/>
        </w:rPr>
        <w:t xml:space="preserve">Set on 70 hectares of land, Prologis Park Wroclaw V offers significant development opportunity, with total potential distribution space of up to 290,000 square metres. The park is adjacent to Wroclaw’s future ring road, three kilometres southwest of the Wrocław Bielany junction where the A4 expressway—which runs between Berlin and Ukraine—and route E261 intersect.</w:t>
      </w:r>
    </w:p>
    <w:p>
      <w:pPr>
        <w:spacing w:before="0" w:after="300"/>
      </w:pPr>
      <w:r>
        <w:rPr>
          <w:rFonts w:ascii="calibri" w:hAnsi="calibri" w:eastAsia="calibri" w:cs="calibri"/>
          <w:sz w:val="24"/>
          <w:szCs w:val="24"/>
        </w:rPr>
        <w:t xml:space="preserve">With four distribution parks and 17 buildings totalling 360,000 square metres, Prologis is the largest provider of industrial real estate in the Wrocław region.</w:t>
      </w:r>
    </w:p>
    <w:p>
      <w:pPr>
        <w:spacing w:before="0" w:after="300"/>
      </w:pPr>
      <w:r>
        <w:rPr>
          <w:rFonts w:ascii="calibri" w:hAnsi="calibri" w:eastAsia="calibri" w:cs="calibri"/>
          <w:sz w:val="24"/>
          <w:szCs w:val="24"/>
          <w:b/>
        </w:rPr>
        <w:t xml:space="preserve">About The Eurocash Group</w:t>
      </w:r>
    </w:p>
    <w:p>
      <w:pPr>
        <w:spacing w:before="0" w:after="300"/>
      </w:pPr>
      <w:r>
        <w:rPr>
          <w:rFonts w:ascii="calibri" w:hAnsi="calibri" w:eastAsia="calibri" w:cs="calibri"/>
          <w:sz w:val="24"/>
          <w:szCs w:val="24"/>
        </w:rPr>
        <w:t xml:space="preserve">The Eurocash Group is one of the largest groups in Poland distributing food products, household chemicals, alcohol, and tobacco products. Through a range of distribution formats, the Eurocash Group focuses its business activities on the wholesale distribution of products to customers across all significant traditional wholesale market segments, in particular, to traditional retail stores throughout Poland and to the market segment of petrol stations, restaurants, and hotels.</w:t>
      </w:r>
    </w:p>
    <w:p>
      <w:pPr>
        <w:spacing w:before="0" w:after="300"/>
      </w:pPr>
      <w:r>
        <w:rPr>
          <w:rFonts w:ascii="calibri" w:hAnsi="calibri" w:eastAsia="calibri" w:cs="calibri"/>
          <w:sz w:val="24"/>
          <w:szCs w:val="24"/>
          <w:b/>
        </w:rPr>
        <w:t xml:space="preserve">About Prologis</w:t>
      </w:r>
    </w:p>
    <w:p>
      <w:pPr>
        <w:spacing w:before="0" w:after="300"/>
      </w:pPr>
      <w:r>
        <w:rPr>
          <w:rFonts w:ascii="calibri" w:hAnsi="calibri" w:eastAsia="calibri" w:cs="calibri"/>
          <w:sz w:val="24"/>
          <w:szCs w:val="24"/>
        </w:rPr>
        <w:t xml:space="preserve">Prologis, Inc. is the leading owner, operator and developer of industrial real estate, focused on global and regional markets across the Americas, Europe and Asia. As of Dec. 31, 2012, Prologis owned or had investments in, on a consolidated basis or through unconsolidated joint ventures, properties and development projects expected to total approximately 554 million square feet (51.5 million square meters) in 21 countries. The company leases modern distribution facilities to more than 4,500 customers, including manufacturers, retailers, transportation companies, third-party logistics providers and other enterprises.</w:t>
      </w:r>
    </w:p>
    <w:p>
      <w:pPr>
        <w:spacing w:before="0" w:after="300"/>
      </w:pPr>
      <w:r>
        <w:rPr>
          <w:rFonts w:ascii="calibri" w:hAnsi="calibri" w:eastAsia="calibri" w:cs="calibri"/>
          <w:sz w:val="24"/>
          <w:szCs w:val="24"/>
        </w:rPr>
        <w:t xml:space="preserve">The statements in this release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Prologis operates, management’s beliefs and assumptions made by management. Such statements involve uncertainties that could significantly impact Prologis’ financial results. Words such as “expects,” “anticipates,” “intends,” “plans,” “believes,” “seeks,” “estimates,”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and changes in sales or contribution volume of properties, disposition activity, general conditions in the geographic areas where we operate, our debt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(“REIT”) status and tax structuring, (vi) availability of financing and capital, the levels of debt that we maintain and our credit ratings, (vii) risks related to our investments in our co-investment ventures and funds, including our ability to establish new co-investment ventures and funds, (viii) risks of doing business internationally, including currency risks, (ix) environmental uncertainties, including risks of natural disasters, and (x) those additional factors discussed in reports filed with the Securities and Exchange Commission by Prologis under the heading “Risk Factors.” Prologis undertakes no duty to update any forward-looking statements appearing in this release.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2024-04-28T01:04:55+02:00</dcterms:created>
  <dcterms:modified xsi:type="dcterms:W3CDTF">2024-04-28T01:04:55+02:00</dcterms:modified>
</cp:coreProperties>
</file>

<file path=docProps/custom.xml><?xml version="1.0" encoding="utf-8"?>
<Properties xmlns="http://schemas.openxmlformats.org/officeDocument/2006/custom-properties" xmlns:vt="http://schemas.openxmlformats.org/officeDocument/2006/docPropsVTypes"/>
</file>